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AAB" w:rsidRDefault="00C42AAB" w:rsidP="00C42AAB">
      <w:pPr>
        <w:jc w:val="center"/>
        <w:rPr>
          <w:rFonts w:ascii="Arial" w:hAnsi="Arial" w:cs="Arial"/>
          <w:b/>
          <w:sz w:val="24"/>
          <w:szCs w:val="24"/>
        </w:rPr>
      </w:pPr>
      <w:bookmarkStart w:id="0" w:name="_GoBack"/>
      <w:bookmarkEnd w:id="0"/>
      <w:r w:rsidRPr="00D141CC">
        <w:rPr>
          <w:rFonts w:ascii="Arial" w:hAnsi="Arial" w:cs="Arial"/>
          <w:noProof/>
          <w:sz w:val="24"/>
          <w:lang w:val="en-GB" w:eastAsia="en-GB"/>
        </w:rPr>
        <w:drawing>
          <wp:anchor distT="0" distB="0" distL="114300" distR="114300" simplePos="0" relativeHeight="251659264" behindDoc="1" locked="0" layoutInCell="1" allowOverlap="1">
            <wp:simplePos x="0" y="0"/>
            <wp:positionH relativeFrom="column">
              <wp:posOffset>2495550</wp:posOffset>
            </wp:positionH>
            <wp:positionV relativeFrom="paragraph">
              <wp:posOffset>-80645</wp:posOffset>
            </wp:positionV>
            <wp:extent cx="666750" cy="83502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lum bright="6000" contrast="12000"/>
                      <a:extLst>
                        <a:ext uri="{28A0092B-C50C-407E-A947-70E740481C1C}">
                          <a14:useLocalDpi xmlns:a14="http://schemas.microsoft.com/office/drawing/2010/main" val="0"/>
                        </a:ext>
                      </a:extLst>
                    </a:blip>
                    <a:srcRect/>
                    <a:stretch>
                      <a:fillRect/>
                    </a:stretch>
                  </pic:blipFill>
                  <pic:spPr bwMode="auto">
                    <a:xfrm>
                      <a:off x="0" y="0"/>
                      <a:ext cx="666750" cy="835025"/>
                    </a:xfrm>
                    <a:prstGeom prst="rect">
                      <a:avLst/>
                    </a:prstGeom>
                    <a:noFill/>
                    <a:ln>
                      <a:noFill/>
                    </a:ln>
                  </pic:spPr>
                </pic:pic>
              </a:graphicData>
            </a:graphic>
          </wp:anchor>
        </w:drawing>
      </w:r>
    </w:p>
    <w:p w:rsidR="00C42AAB" w:rsidRDefault="00C42AAB" w:rsidP="00C42AAB">
      <w:pPr>
        <w:tabs>
          <w:tab w:val="left" w:pos="3225"/>
        </w:tabs>
        <w:rPr>
          <w:rFonts w:ascii="Arial" w:hAnsi="Arial" w:cs="Arial"/>
          <w:b/>
          <w:sz w:val="24"/>
          <w:szCs w:val="24"/>
        </w:rPr>
      </w:pPr>
      <w:r>
        <w:rPr>
          <w:rFonts w:ascii="Arial" w:hAnsi="Arial" w:cs="Arial"/>
          <w:b/>
          <w:sz w:val="24"/>
          <w:szCs w:val="24"/>
        </w:rPr>
        <w:tab/>
      </w:r>
    </w:p>
    <w:p w:rsidR="00C42AAB" w:rsidRDefault="00C42AAB" w:rsidP="00A93525">
      <w:pPr>
        <w:tabs>
          <w:tab w:val="left" w:pos="0"/>
        </w:tabs>
        <w:spacing w:before="240" w:after="120" w:line="360" w:lineRule="auto"/>
        <w:jc w:val="center"/>
        <w:rPr>
          <w:rFonts w:ascii="Arial" w:eastAsia="Times New Roman" w:hAnsi="Arial" w:cs="Arial"/>
          <w:b/>
          <w:spacing w:val="3"/>
          <w:w w:val="104"/>
          <w:kern w:val="2"/>
          <w:sz w:val="24"/>
          <w:szCs w:val="24"/>
          <w:lang w:eastAsia="en-ZA"/>
        </w:rPr>
      </w:pPr>
    </w:p>
    <w:p w:rsidR="00A93525" w:rsidRPr="0071489B" w:rsidRDefault="00A93525" w:rsidP="00A93525">
      <w:pPr>
        <w:tabs>
          <w:tab w:val="left" w:pos="0"/>
        </w:tabs>
        <w:spacing w:before="240" w:after="120" w:line="360" w:lineRule="auto"/>
        <w:jc w:val="center"/>
        <w:rPr>
          <w:rFonts w:ascii="Arial" w:eastAsia="Times New Roman" w:hAnsi="Arial" w:cs="Arial"/>
          <w:b/>
          <w:spacing w:val="3"/>
          <w:w w:val="104"/>
          <w:kern w:val="2"/>
          <w:sz w:val="24"/>
          <w:szCs w:val="24"/>
          <w:lang w:eastAsia="en-ZA"/>
        </w:rPr>
      </w:pPr>
      <w:r w:rsidRPr="0071489B">
        <w:rPr>
          <w:rFonts w:ascii="Arial" w:eastAsia="Times New Roman" w:hAnsi="Arial" w:cs="Arial"/>
          <w:b/>
          <w:spacing w:val="3"/>
          <w:w w:val="104"/>
          <w:kern w:val="2"/>
          <w:sz w:val="24"/>
          <w:szCs w:val="24"/>
          <w:lang w:eastAsia="en-ZA"/>
        </w:rPr>
        <w:t>REPUBLIC OF SOUTH AFRICA</w:t>
      </w:r>
    </w:p>
    <w:p w:rsidR="00A93525" w:rsidRPr="0071489B" w:rsidRDefault="00A93525" w:rsidP="00A93525">
      <w:pPr>
        <w:spacing w:before="240" w:after="120" w:line="360" w:lineRule="auto"/>
        <w:jc w:val="center"/>
        <w:rPr>
          <w:rFonts w:ascii="Arial" w:hAnsi="Arial" w:cs="Arial"/>
          <w:b/>
          <w:sz w:val="24"/>
          <w:szCs w:val="24"/>
        </w:rPr>
      </w:pPr>
      <w:r w:rsidRPr="0071489B">
        <w:rPr>
          <w:rFonts w:ascii="Arial" w:hAnsi="Arial" w:cs="Arial"/>
          <w:b/>
          <w:sz w:val="24"/>
          <w:szCs w:val="24"/>
        </w:rPr>
        <w:t>THE LABOUR COURT OF SOUTH AFRICA, JOHANNESBURG</w:t>
      </w:r>
    </w:p>
    <w:p w:rsidR="00A93525" w:rsidRPr="0071489B" w:rsidRDefault="00A93525" w:rsidP="00A93525">
      <w:pPr>
        <w:spacing w:before="240" w:after="120" w:line="360" w:lineRule="auto"/>
        <w:jc w:val="center"/>
        <w:rPr>
          <w:rFonts w:ascii="Arial" w:hAnsi="Arial" w:cs="Arial"/>
          <w:b/>
          <w:sz w:val="24"/>
          <w:szCs w:val="24"/>
        </w:rPr>
      </w:pPr>
      <w:r w:rsidRPr="0071489B">
        <w:rPr>
          <w:rFonts w:ascii="Arial" w:hAnsi="Arial" w:cs="Arial"/>
          <w:b/>
          <w:sz w:val="24"/>
          <w:szCs w:val="24"/>
        </w:rPr>
        <w:t>JUDGMENT</w:t>
      </w:r>
    </w:p>
    <w:p w:rsidR="00A93525" w:rsidRPr="0071489B" w:rsidRDefault="00A93525" w:rsidP="00A93525">
      <w:pPr>
        <w:spacing w:before="240" w:after="120" w:line="360" w:lineRule="auto"/>
        <w:jc w:val="right"/>
        <w:rPr>
          <w:rFonts w:ascii="Arial" w:hAnsi="Arial" w:cs="Arial"/>
          <w:sz w:val="24"/>
          <w:szCs w:val="24"/>
        </w:rPr>
      </w:pPr>
      <w:r w:rsidRPr="0071489B">
        <w:rPr>
          <w:rFonts w:ascii="Arial" w:hAnsi="Arial" w:cs="Arial"/>
          <w:sz w:val="24"/>
          <w:szCs w:val="24"/>
        </w:rPr>
        <w:t>Reportable</w:t>
      </w:r>
    </w:p>
    <w:p w:rsidR="00A93525" w:rsidRPr="0071489B" w:rsidRDefault="00A93525" w:rsidP="00A93525">
      <w:pPr>
        <w:spacing w:before="240" w:after="120" w:line="360" w:lineRule="auto"/>
        <w:jc w:val="right"/>
        <w:rPr>
          <w:rFonts w:ascii="Arial" w:hAnsi="Arial" w:cs="Arial"/>
          <w:sz w:val="24"/>
          <w:szCs w:val="24"/>
        </w:rPr>
      </w:pPr>
      <w:r w:rsidRPr="0071489B">
        <w:rPr>
          <w:rFonts w:ascii="Arial" w:hAnsi="Arial" w:cs="Arial"/>
          <w:sz w:val="24"/>
          <w:szCs w:val="24"/>
        </w:rPr>
        <w:t xml:space="preserve">Case no: </w:t>
      </w:r>
      <w:r>
        <w:rPr>
          <w:rFonts w:ascii="Arial" w:hAnsi="Arial" w:cs="Arial"/>
          <w:sz w:val="24"/>
          <w:szCs w:val="24"/>
        </w:rPr>
        <w:t xml:space="preserve">J </w:t>
      </w:r>
      <w:r w:rsidRPr="0071489B">
        <w:rPr>
          <w:rFonts w:ascii="Arial" w:hAnsi="Arial" w:cs="Arial"/>
          <w:sz w:val="24"/>
          <w:szCs w:val="24"/>
        </w:rPr>
        <w:t>99/14</w:t>
      </w:r>
    </w:p>
    <w:p w:rsidR="00A93525" w:rsidRPr="0071489B" w:rsidRDefault="00A93525" w:rsidP="008D2E7A">
      <w:pPr>
        <w:spacing w:before="240" w:after="120" w:line="360" w:lineRule="auto"/>
        <w:jc w:val="both"/>
        <w:rPr>
          <w:rFonts w:ascii="Arial" w:hAnsi="Arial" w:cs="Arial"/>
          <w:sz w:val="24"/>
          <w:szCs w:val="24"/>
        </w:rPr>
      </w:pPr>
      <w:r w:rsidRPr="0071489B">
        <w:rPr>
          <w:rFonts w:ascii="Arial" w:hAnsi="Arial" w:cs="Arial"/>
          <w:sz w:val="24"/>
          <w:szCs w:val="24"/>
        </w:rPr>
        <w:t>In the matter between:</w:t>
      </w:r>
    </w:p>
    <w:p w:rsidR="00A93525" w:rsidRPr="00165FB4" w:rsidRDefault="00A93525" w:rsidP="008D2E7A">
      <w:pPr>
        <w:tabs>
          <w:tab w:val="right" w:pos="8931"/>
        </w:tabs>
        <w:spacing w:before="240" w:after="120"/>
        <w:jc w:val="both"/>
        <w:rPr>
          <w:rFonts w:ascii="Arial" w:hAnsi="Arial" w:cs="Arial"/>
          <w:sz w:val="24"/>
          <w:szCs w:val="24"/>
        </w:rPr>
      </w:pPr>
      <w:r w:rsidRPr="00AA1343">
        <w:rPr>
          <w:rFonts w:ascii="Arial" w:hAnsi="Arial" w:cs="Arial"/>
          <w:b/>
          <w:sz w:val="24"/>
          <w:szCs w:val="24"/>
        </w:rPr>
        <w:t xml:space="preserve">CHAMBER OF MINES OF SOUTH AFRICA </w:t>
      </w:r>
      <w:r w:rsidRPr="00AA1343">
        <w:rPr>
          <w:rFonts w:ascii="Arial" w:hAnsi="Arial" w:cs="Arial"/>
          <w:b/>
          <w:sz w:val="24"/>
          <w:szCs w:val="24"/>
        </w:rPr>
        <w:tab/>
      </w:r>
      <w:r w:rsidRPr="00165FB4">
        <w:rPr>
          <w:rFonts w:ascii="Arial" w:hAnsi="Arial" w:cs="Arial"/>
          <w:sz w:val="24"/>
          <w:szCs w:val="24"/>
        </w:rPr>
        <w:t>Applicant</w:t>
      </w:r>
    </w:p>
    <w:p w:rsidR="00A93525" w:rsidRPr="008D2E7A" w:rsidRDefault="00394797" w:rsidP="008D2E7A">
      <w:pPr>
        <w:tabs>
          <w:tab w:val="right" w:pos="8931"/>
        </w:tabs>
        <w:spacing w:before="240" w:after="120"/>
        <w:jc w:val="both"/>
        <w:rPr>
          <w:rFonts w:ascii="Arial" w:hAnsi="Arial" w:cs="Arial"/>
          <w:b/>
          <w:sz w:val="24"/>
          <w:szCs w:val="24"/>
        </w:rPr>
      </w:pPr>
      <w:r w:rsidRPr="008D2E7A">
        <w:rPr>
          <w:rFonts w:ascii="Arial" w:hAnsi="Arial" w:cs="Arial"/>
          <w:b/>
          <w:sz w:val="24"/>
          <w:szCs w:val="24"/>
        </w:rPr>
        <w:t>a</w:t>
      </w:r>
      <w:r w:rsidR="00EC5EBB">
        <w:rPr>
          <w:rFonts w:ascii="Arial" w:hAnsi="Arial" w:cs="Arial"/>
          <w:b/>
          <w:sz w:val="24"/>
          <w:szCs w:val="24"/>
        </w:rPr>
        <w:t>cting in its own name &amp; on behalf of</w:t>
      </w:r>
    </w:p>
    <w:p w:rsidR="00A93525" w:rsidRPr="00AA1343" w:rsidRDefault="00A93525" w:rsidP="008D2E7A">
      <w:pPr>
        <w:tabs>
          <w:tab w:val="right" w:pos="8931"/>
        </w:tabs>
        <w:spacing w:before="240" w:after="120"/>
        <w:jc w:val="both"/>
        <w:rPr>
          <w:rFonts w:ascii="Arial" w:hAnsi="Arial" w:cs="Arial"/>
          <w:b/>
          <w:sz w:val="24"/>
          <w:szCs w:val="24"/>
        </w:rPr>
      </w:pPr>
      <w:r w:rsidRPr="00AA1343">
        <w:rPr>
          <w:rFonts w:ascii="Arial" w:hAnsi="Arial" w:cs="Arial"/>
          <w:b/>
          <w:sz w:val="24"/>
          <w:szCs w:val="24"/>
        </w:rPr>
        <w:t>HARMONY GOLD MINING COMPANY LTD</w:t>
      </w:r>
    </w:p>
    <w:p w:rsidR="00BF1EC7" w:rsidRDefault="00A93525" w:rsidP="008D2E7A">
      <w:pPr>
        <w:tabs>
          <w:tab w:val="right" w:pos="8931"/>
        </w:tabs>
        <w:spacing w:before="240" w:after="120"/>
        <w:jc w:val="both"/>
        <w:rPr>
          <w:rFonts w:ascii="Arial" w:hAnsi="Arial" w:cs="Arial"/>
          <w:b/>
          <w:sz w:val="24"/>
          <w:szCs w:val="24"/>
        </w:rPr>
      </w:pPr>
      <w:r w:rsidRPr="00AA1343">
        <w:rPr>
          <w:rFonts w:ascii="Arial" w:hAnsi="Arial" w:cs="Arial"/>
          <w:b/>
          <w:sz w:val="24"/>
          <w:szCs w:val="24"/>
        </w:rPr>
        <w:t>ANGLOGOLD ASHANTI LTD</w:t>
      </w:r>
    </w:p>
    <w:p w:rsidR="00D45B8F" w:rsidRDefault="00A93525" w:rsidP="008D2E7A">
      <w:pPr>
        <w:tabs>
          <w:tab w:val="right" w:pos="8931"/>
        </w:tabs>
        <w:spacing w:before="240" w:after="120"/>
        <w:jc w:val="both"/>
        <w:rPr>
          <w:rFonts w:ascii="Arial" w:hAnsi="Arial" w:cs="Arial"/>
          <w:b/>
          <w:sz w:val="24"/>
          <w:szCs w:val="24"/>
        </w:rPr>
      </w:pPr>
      <w:r w:rsidRPr="00AA1343">
        <w:rPr>
          <w:rFonts w:ascii="Arial" w:hAnsi="Arial" w:cs="Arial"/>
          <w:b/>
          <w:sz w:val="24"/>
          <w:szCs w:val="24"/>
        </w:rPr>
        <w:t xml:space="preserve">SIBANYE GOLD LTD </w:t>
      </w:r>
    </w:p>
    <w:p w:rsidR="00A93525" w:rsidRPr="00AA1343" w:rsidRDefault="00A93525" w:rsidP="008D2E7A">
      <w:pPr>
        <w:tabs>
          <w:tab w:val="right" w:pos="8931"/>
        </w:tabs>
        <w:spacing w:before="240" w:after="120"/>
        <w:jc w:val="both"/>
        <w:rPr>
          <w:rFonts w:ascii="Arial" w:hAnsi="Arial" w:cs="Arial"/>
          <w:b/>
          <w:sz w:val="24"/>
          <w:szCs w:val="24"/>
        </w:rPr>
      </w:pPr>
      <w:r w:rsidRPr="00AA1343">
        <w:rPr>
          <w:rFonts w:ascii="Arial" w:hAnsi="Arial" w:cs="Arial"/>
          <w:b/>
          <w:sz w:val="24"/>
          <w:szCs w:val="24"/>
        </w:rPr>
        <w:tab/>
      </w:r>
    </w:p>
    <w:p w:rsidR="00A93525" w:rsidRDefault="00A93525" w:rsidP="008D2E7A">
      <w:pPr>
        <w:spacing w:before="240" w:after="120" w:line="360" w:lineRule="auto"/>
        <w:jc w:val="both"/>
        <w:rPr>
          <w:rFonts w:ascii="Arial" w:hAnsi="Arial" w:cs="Arial"/>
          <w:sz w:val="24"/>
          <w:szCs w:val="24"/>
        </w:rPr>
      </w:pPr>
      <w:r w:rsidRPr="00D45B8F">
        <w:rPr>
          <w:rFonts w:ascii="Arial" w:hAnsi="Arial" w:cs="Arial"/>
          <w:sz w:val="24"/>
          <w:szCs w:val="24"/>
        </w:rPr>
        <w:t xml:space="preserve">and </w:t>
      </w:r>
    </w:p>
    <w:p w:rsidR="00D45B8F" w:rsidRPr="00D45B8F" w:rsidRDefault="00D45B8F" w:rsidP="008D2E7A">
      <w:pPr>
        <w:spacing w:before="240" w:after="120" w:line="360" w:lineRule="auto"/>
        <w:jc w:val="both"/>
        <w:rPr>
          <w:rFonts w:ascii="Arial" w:hAnsi="Arial" w:cs="Arial"/>
          <w:sz w:val="24"/>
          <w:szCs w:val="24"/>
        </w:rPr>
      </w:pPr>
    </w:p>
    <w:p w:rsidR="00A93525" w:rsidRPr="00165FB4" w:rsidRDefault="00A93525" w:rsidP="008D2E7A">
      <w:pPr>
        <w:tabs>
          <w:tab w:val="left" w:pos="5760"/>
          <w:tab w:val="left" w:pos="6002"/>
          <w:tab w:val="left" w:pos="6797"/>
          <w:tab w:val="right" w:pos="8931"/>
        </w:tabs>
        <w:spacing w:before="240" w:after="120" w:line="360" w:lineRule="auto"/>
        <w:contextualSpacing/>
        <w:jc w:val="both"/>
        <w:rPr>
          <w:rFonts w:ascii="Arial" w:hAnsi="Arial" w:cs="Arial"/>
          <w:sz w:val="24"/>
          <w:szCs w:val="24"/>
        </w:rPr>
      </w:pPr>
      <w:r w:rsidRPr="00AA1343">
        <w:rPr>
          <w:rFonts w:ascii="Arial" w:hAnsi="Arial" w:cs="Arial"/>
          <w:b/>
          <w:sz w:val="24"/>
          <w:szCs w:val="24"/>
        </w:rPr>
        <w:t>A</w:t>
      </w:r>
      <w:r w:rsidR="00394797">
        <w:rPr>
          <w:rFonts w:ascii="Arial" w:hAnsi="Arial" w:cs="Arial"/>
          <w:b/>
          <w:sz w:val="24"/>
          <w:szCs w:val="24"/>
        </w:rPr>
        <w:t>SSOCIATION OF MINEWORKERS OF SA</w:t>
      </w:r>
      <w:r w:rsidRPr="00AA1343">
        <w:rPr>
          <w:rFonts w:ascii="Arial" w:hAnsi="Arial" w:cs="Arial"/>
          <w:b/>
          <w:sz w:val="24"/>
          <w:szCs w:val="24"/>
        </w:rPr>
        <w:t xml:space="preserve"> </w:t>
      </w:r>
      <w:r w:rsidRPr="00AA1343">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165FB4">
        <w:rPr>
          <w:rFonts w:ascii="Arial" w:hAnsi="Arial" w:cs="Arial"/>
          <w:sz w:val="24"/>
          <w:szCs w:val="24"/>
        </w:rPr>
        <w:t>First Respondent</w:t>
      </w:r>
    </w:p>
    <w:p w:rsidR="00A93525" w:rsidRPr="00AA1343" w:rsidRDefault="00394797" w:rsidP="008D2E7A">
      <w:pPr>
        <w:tabs>
          <w:tab w:val="left" w:pos="5725"/>
          <w:tab w:val="left" w:pos="6048"/>
          <w:tab w:val="left" w:pos="6762"/>
          <w:tab w:val="right" w:pos="8931"/>
        </w:tabs>
        <w:spacing w:before="240" w:after="120" w:line="360" w:lineRule="auto"/>
        <w:jc w:val="both"/>
        <w:rPr>
          <w:rFonts w:ascii="Arial" w:hAnsi="Arial" w:cs="Arial"/>
          <w:b/>
          <w:sz w:val="24"/>
          <w:szCs w:val="24"/>
        </w:rPr>
      </w:pPr>
      <w:r>
        <w:rPr>
          <w:rFonts w:ascii="Arial" w:hAnsi="Arial" w:cs="Arial"/>
          <w:b/>
          <w:sz w:val="24"/>
          <w:szCs w:val="24"/>
        </w:rPr>
        <w:t>NATIONAL UNION OF MINEWORKERS</w:t>
      </w:r>
      <w:r w:rsidR="00A93525" w:rsidRPr="00AA1343">
        <w:rPr>
          <w:rFonts w:ascii="Arial" w:hAnsi="Arial" w:cs="Arial"/>
          <w:b/>
          <w:sz w:val="24"/>
          <w:szCs w:val="24"/>
        </w:rPr>
        <w:tab/>
      </w:r>
      <w:r w:rsidR="00A93525">
        <w:rPr>
          <w:rFonts w:ascii="Arial" w:hAnsi="Arial" w:cs="Arial"/>
          <w:b/>
          <w:sz w:val="24"/>
          <w:szCs w:val="24"/>
        </w:rPr>
        <w:tab/>
        <w:t xml:space="preserve">         </w:t>
      </w:r>
      <w:r w:rsidR="00A93525" w:rsidRPr="00165FB4">
        <w:rPr>
          <w:rFonts w:ascii="Arial" w:hAnsi="Arial" w:cs="Arial"/>
          <w:sz w:val="24"/>
          <w:szCs w:val="24"/>
        </w:rPr>
        <w:t>Second Respondent</w:t>
      </w:r>
    </w:p>
    <w:p w:rsidR="00A93525" w:rsidRPr="00AA1343" w:rsidRDefault="00A93525" w:rsidP="008D2E7A">
      <w:pPr>
        <w:tabs>
          <w:tab w:val="left" w:pos="5841"/>
          <w:tab w:val="left" w:pos="6048"/>
          <w:tab w:val="left" w:pos="6762"/>
          <w:tab w:val="right" w:pos="8931"/>
        </w:tabs>
        <w:spacing w:before="240" w:after="120" w:line="360" w:lineRule="auto"/>
        <w:jc w:val="both"/>
        <w:rPr>
          <w:rFonts w:ascii="Arial" w:hAnsi="Arial" w:cs="Arial"/>
          <w:b/>
          <w:sz w:val="24"/>
          <w:szCs w:val="24"/>
        </w:rPr>
      </w:pPr>
      <w:r w:rsidRPr="00AA1343">
        <w:rPr>
          <w:rFonts w:ascii="Arial" w:hAnsi="Arial" w:cs="Arial"/>
          <w:b/>
          <w:sz w:val="24"/>
          <w:szCs w:val="24"/>
        </w:rPr>
        <w:t>SOLIDARITY</w:t>
      </w:r>
      <w:r w:rsidRPr="00AA1343">
        <w:rPr>
          <w:rFonts w:ascii="Arial" w:hAnsi="Arial" w:cs="Arial"/>
          <w:b/>
          <w:sz w:val="24"/>
          <w:szCs w:val="24"/>
        </w:rPr>
        <w:tab/>
      </w:r>
      <w:r>
        <w:rPr>
          <w:rFonts w:ascii="Arial" w:hAnsi="Arial" w:cs="Arial"/>
          <w:b/>
          <w:sz w:val="24"/>
          <w:szCs w:val="24"/>
        </w:rPr>
        <w:t xml:space="preserve">                </w:t>
      </w:r>
      <w:r w:rsidRPr="00165FB4">
        <w:rPr>
          <w:rFonts w:ascii="Arial" w:hAnsi="Arial" w:cs="Arial"/>
          <w:sz w:val="24"/>
          <w:szCs w:val="24"/>
        </w:rPr>
        <w:t>Third Respondent</w:t>
      </w:r>
    </w:p>
    <w:p w:rsidR="00A93525" w:rsidRPr="00AA1343" w:rsidRDefault="00394797" w:rsidP="008D2E7A">
      <w:pPr>
        <w:tabs>
          <w:tab w:val="left" w:pos="5760"/>
          <w:tab w:val="left" w:pos="5990"/>
          <w:tab w:val="left" w:pos="6785"/>
          <w:tab w:val="right" w:pos="8931"/>
        </w:tabs>
        <w:spacing w:before="240" w:after="120" w:line="360" w:lineRule="auto"/>
        <w:jc w:val="both"/>
        <w:rPr>
          <w:rFonts w:ascii="Arial" w:hAnsi="Arial" w:cs="Arial"/>
          <w:b/>
          <w:sz w:val="24"/>
          <w:szCs w:val="24"/>
        </w:rPr>
      </w:pPr>
      <w:r>
        <w:rPr>
          <w:rFonts w:ascii="Arial" w:hAnsi="Arial" w:cs="Arial"/>
          <w:b/>
          <w:sz w:val="24"/>
          <w:szCs w:val="24"/>
        </w:rPr>
        <w:t>UNITED ASSOCIATION OF SA</w:t>
      </w:r>
      <w:r w:rsidR="00A93525" w:rsidRPr="00AA1343">
        <w:rPr>
          <w:rFonts w:ascii="Arial" w:hAnsi="Arial" w:cs="Arial"/>
          <w:b/>
          <w:sz w:val="24"/>
          <w:szCs w:val="24"/>
        </w:rPr>
        <w:tab/>
      </w:r>
      <w:r w:rsidR="00A93525">
        <w:rPr>
          <w:rFonts w:ascii="Arial" w:hAnsi="Arial" w:cs="Arial"/>
          <w:b/>
          <w:sz w:val="24"/>
          <w:szCs w:val="24"/>
        </w:rPr>
        <w:t xml:space="preserve">               </w:t>
      </w:r>
      <w:r w:rsidR="00A93525" w:rsidRPr="00165FB4">
        <w:rPr>
          <w:rFonts w:ascii="Arial" w:hAnsi="Arial" w:cs="Arial"/>
          <w:sz w:val="24"/>
          <w:szCs w:val="24"/>
        </w:rPr>
        <w:t>Fourth Respondent</w:t>
      </w:r>
    </w:p>
    <w:p w:rsidR="009D30DD" w:rsidRDefault="009D30DD" w:rsidP="008D2E7A">
      <w:pPr>
        <w:tabs>
          <w:tab w:val="right" w:pos="8931"/>
        </w:tabs>
        <w:spacing w:before="240" w:after="120" w:line="240" w:lineRule="auto"/>
        <w:jc w:val="both"/>
        <w:rPr>
          <w:rFonts w:ascii="Arial" w:hAnsi="Arial" w:cs="Arial"/>
          <w:b/>
          <w:sz w:val="24"/>
          <w:szCs w:val="24"/>
        </w:rPr>
      </w:pPr>
    </w:p>
    <w:p w:rsidR="00A93525" w:rsidRPr="00AA1343" w:rsidRDefault="00A93525" w:rsidP="008D2E7A">
      <w:pPr>
        <w:tabs>
          <w:tab w:val="right" w:pos="8931"/>
        </w:tabs>
        <w:spacing w:before="240" w:after="120" w:line="240" w:lineRule="auto"/>
        <w:jc w:val="both"/>
        <w:rPr>
          <w:rFonts w:ascii="Arial" w:hAnsi="Arial" w:cs="Arial"/>
          <w:b/>
          <w:sz w:val="24"/>
          <w:szCs w:val="24"/>
        </w:rPr>
      </w:pPr>
      <w:r w:rsidRPr="00AA1343">
        <w:rPr>
          <w:rFonts w:ascii="Arial" w:hAnsi="Arial" w:cs="Arial"/>
          <w:b/>
          <w:sz w:val="24"/>
          <w:szCs w:val="24"/>
        </w:rPr>
        <w:lastRenderedPageBreak/>
        <w:t xml:space="preserve">EMPLOYEES LISTED IN ANNEXURE ‘A’ </w:t>
      </w:r>
    </w:p>
    <w:p w:rsidR="009D30DD" w:rsidRDefault="00A93525" w:rsidP="008D2E7A">
      <w:pPr>
        <w:tabs>
          <w:tab w:val="right" w:pos="8931"/>
        </w:tabs>
        <w:spacing w:before="240" w:after="120" w:line="240" w:lineRule="auto"/>
        <w:jc w:val="both"/>
        <w:rPr>
          <w:rFonts w:ascii="Arial" w:hAnsi="Arial" w:cs="Arial"/>
          <w:b/>
          <w:sz w:val="24"/>
          <w:szCs w:val="24"/>
        </w:rPr>
      </w:pPr>
      <w:r w:rsidRPr="00AA1343">
        <w:rPr>
          <w:rFonts w:ascii="Arial" w:hAnsi="Arial" w:cs="Arial"/>
          <w:b/>
          <w:sz w:val="24"/>
          <w:szCs w:val="24"/>
        </w:rPr>
        <w:t>TO</w:t>
      </w:r>
      <w:r w:rsidR="009D30DD">
        <w:rPr>
          <w:rFonts w:ascii="Arial" w:hAnsi="Arial" w:cs="Arial"/>
          <w:b/>
          <w:sz w:val="24"/>
          <w:szCs w:val="24"/>
        </w:rPr>
        <w:t xml:space="preserve"> THE</w:t>
      </w:r>
      <w:r w:rsidRPr="00AA1343">
        <w:rPr>
          <w:rFonts w:ascii="Arial" w:hAnsi="Arial" w:cs="Arial"/>
          <w:b/>
          <w:sz w:val="24"/>
          <w:szCs w:val="24"/>
        </w:rPr>
        <w:t xml:space="preserve"> NOTICE OF MOTION</w:t>
      </w:r>
    </w:p>
    <w:p w:rsidR="00A93525" w:rsidRPr="00AA1343" w:rsidRDefault="00A93525" w:rsidP="008D2E7A">
      <w:pPr>
        <w:tabs>
          <w:tab w:val="right" w:pos="8931"/>
        </w:tabs>
        <w:spacing w:before="240" w:after="120" w:line="240" w:lineRule="auto"/>
        <w:jc w:val="both"/>
        <w:rPr>
          <w:rFonts w:ascii="Arial" w:hAnsi="Arial" w:cs="Arial"/>
          <w:b/>
          <w:sz w:val="24"/>
          <w:szCs w:val="24"/>
        </w:rPr>
      </w:pPr>
      <w:r w:rsidRPr="00AA1343">
        <w:rPr>
          <w:rFonts w:ascii="Arial" w:hAnsi="Arial" w:cs="Arial"/>
          <w:b/>
          <w:sz w:val="24"/>
          <w:szCs w:val="24"/>
        </w:rPr>
        <w:tab/>
      </w:r>
      <w:r w:rsidRPr="00165FB4">
        <w:rPr>
          <w:rFonts w:ascii="Arial" w:hAnsi="Arial" w:cs="Arial"/>
          <w:sz w:val="24"/>
          <w:szCs w:val="24"/>
        </w:rPr>
        <w:t xml:space="preserve">             Fifth and Further Respondents</w:t>
      </w:r>
      <w:r w:rsidRPr="00AA1343">
        <w:rPr>
          <w:rFonts w:ascii="Arial" w:hAnsi="Arial" w:cs="Arial"/>
          <w:b/>
          <w:sz w:val="24"/>
          <w:szCs w:val="24"/>
        </w:rPr>
        <w:t xml:space="preserve"> </w:t>
      </w:r>
    </w:p>
    <w:p w:rsidR="009D30DD" w:rsidRDefault="009D30DD" w:rsidP="008D2E7A">
      <w:pPr>
        <w:tabs>
          <w:tab w:val="right" w:pos="8931"/>
        </w:tabs>
        <w:spacing w:before="240" w:after="120" w:line="360" w:lineRule="auto"/>
        <w:jc w:val="both"/>
        <w:rPr>
          <w:rFonts w:ascii="Arial" w:hAnsi="Arial" w:cs="Arial"/>
          <w:sz w:val="24"/>
          <w:szCs w:val="24"/>
        </w:rPr>
      </w:pPr>
    </w:p>
    <w:p w:rsidR="00394797" w:rsidRDefault="00394797" w:rsidP="008D2E7A">
      <w:pPr>
        <w:tabs>
          <w:tab w:val="right" w:pos="8931"/>
        </w:tabs>
        <w:spacing w:before="240" w:after="120" w:line="240" w:lineRule="auto"/>
        <w:jc w:val="both"/>
        <w:rPr>
          <w:rFonts w:ascii="Arial" w:hAnsi="Arial" w:cs="Arial"/>
          <w:b/>
          <w:sz w:val="24"/>
          <w:szCs w:val="24"/>
        </w:rPr>
      </w:pPr>
      <w:r>
        <w:rPr>
          <w:rFonts w:ascii="Arial" w:hAnsi="Arial" w:cs="Arial"/>
          <w:b/>
          <w:sz w:val="24"/>
          <w:szCs w:val="24"/>
        </w:rPr>
        <w:t>ASSOCIATION OF MINEWORKERS AND</w:t>
      </w:r>
    </w:p>
    <w:p w:rsidR="00394797" w:rsidRDefault="00394797" w:rsidP="008D2E7A">
      <w:pPr>
        <w:tabs>
          <w:tab w:val="right" w:pos="8931"/>
        </w:tabs>
        <w:spacing w:before="240" w:after="120" w:line="240" w:lineRule="auto"/>
        <w:jc w:val="both"/>
        <w:rPr>
          <w:rFonts w:ascii="Arial" w:hAnsi="Arial" w:cs="Arial"/>
          <w:sz w:val="24"/>
          <w:szCs w:val="24"/>
        </w:rPr>
      </w:pPr>
      <w:r>
        <w:rPr>
          <w:rFonts w:ascii="Arial" w:hAnsi="Arial" w:cs="Arial"/>
          <w:b/>
          <w:sz w:val="24"/>
          <w:szCs w:val="24"/>
        </w:rPr>
        <w:t xml:space="preserve"> CONSTRUCTION UNION</w:t>
      </w:r>
      <w:r>
        <w:rPr>
          <w:rFonts w:ascii="Arial" w:hAnsi="Arial" w:cs="Arial"/>
          <w:b/>
          <w:sz w:val="24"/>
          <w:szCs w:val="24"/>
        </w:rPr>
        <w:tab/>
        <w:t xml:space="preserve"> </w:t>
      </w:r>
      <w:r w:rsidRPr="00394797">
        <w:rPr>
          <w:rFonts w:ascii="Arial" w:hAnsi="Arial" w:cs="Arial"/>
          <w:sz w:val="24"/>
          <w:szCs w:val="24"/>
        </w:rPr>
        <w:t>First Applicant</w:t>
      </w:r>
    </w:p>
    <w:p w:rsidR="00394797" w:rsidRPr="00394797" w:rsidRDefault="00394797" w:rsidP="008D2E7A">
      <w:pPr>
        <w:tabs>
          <w:tab w:val="right" w:pos="8931"/>
        </w:tabs>
        <w:spacing w:before="240" w:after="120" w:line="240" w:lineRule="auto"/>
        <w:jc w:val="both"/>
        <w:rPr>
          <w:rFonts w:ascii="Arial" w:hAnsi="Arial" w:cs="Arial"/>
          <w:b/>
          <w:sz w:val="24"/>
          <w:szCs w:val="24"/>
        </w:rPr>
      </w:pPr>
      <w:r w:rsidRPr="00394797">
        <w:rPr>
          <w:rFonts w:ascii="Arial" w:hAnsi="Arial" w:cs="Arial"/>
          <w:b/>
          <w:sz w:val="24"/>
          <w:szCs w:val="24"/>
        </w:rPr>
        <w:t>THE PERSONS REFERRED TO IN ANNEXURE ‘A’</w:t>
      </w:r>
    </w:p>
    <w:p w:rsidR="00394797" w:rsidRDefault="00394797" w:rsidP="008D2E7A">
      <w:pPr>
        <w:tabs>
          <w:tab w:val="right" w:pos="8931"/>
        </w:tabs>
        <w:spacing w:before="240" w:after="120" w:line="240" w:lineRule="auto"/>
        <w:jc w:val="both"/>
        <w:rPr>
          <w:rFonts w:ascii="Arial" w:hAnsi="Arial" w:cs="Arial"/>
          <w:sz w:val="24"/>
          <w:szCs w:val="24"/>
        </w:rPr>
      </w:pPr>
      <w:r w:rsidRPr="00394797">
        <w:rPr>
          <w:rFonts w:ascii="Arial" w:hAnsi="Arial" w:cs="Arial"/>
          <w:b/>
          <w:sz w:val="24"/>
          <w:szCs w:val="24"/>
        </w:rPr>
        <w:t>TO THE NOTICE OF MOTION</w:t>
      </w:r>
      <w:r>
        <w:rPr>
          <w:rFonts w:ascii="Arial" w:hAnsi="Arial" w:cs="Arial"/>
          <w:b/>
          <w:sz w:val="24"/>
          <w:szCs w:val="24"/>
        </w:rPr>
        <w:t xml:space="preserve"> </w:t>
      </w:r>
      <w:r>
        <w:rPr>
          <w:rFonts w:ascii="Arial" w:hAnsi="Arial" w:cs="Arial"/>
          <w:b/>
          <w:sz w:val="24"/>
          <w:szCs w:val="24"/>
        </w:rPr>
        <w:tab/>
      </w:r>
      <w:r>
        <w:rPr>
          <w:rFonts w:ascii="Arial" w:hAnsi="Arial" w:cs="Arial"/>
          <w:sz w:val="24"/>
          <w:szCs w:val="24"/>
        </w:rPr>
        <w:t>Second to further applicants</w:t>
      </w:r>
    </w:p>
    <w:p w:rsidR="009D30DD" w:rsidRDefault="009D30DD" w:rsidP="008D2E7A">
      <w:pPr>
        <w:tabs>
          <w:tab w:val="right" w:pos="8931"/>
        </w:tabs>
        <w:spacing w:before="240" w:after="120" w:line="240" w:lineRule="auto"/>
        <w:jc w:val="both"/>
        <w:rPr>
          <w:rFonts w:ascii="Arial" w:hAnsi="Arial" w:cs="Arial"/>
          <w:sz w:val="24"/>
          <w:szCs w:val="24"/>
        </w:rPr>
      </w:pPr>
    </w:p>
    <w:p w:rsidR="00394797" w:rsidRDefault="009D30DD" w:rsidP="008D2E7A">
      <w:pPr>
        <w:tabs>
          <w:tab w:val="right" w:pos="8931"/>
        </w:tabs>
        <w:spacing w:before="240" w:after="120" w:line="240" w:lineRule="auto"/>
        <w:jc w:val="both"/>
        <w:rPr>
          <w:rFonts w:ascii="Arial" w:hAnsi="Arial" w:cs="Arial"/>
          <w:sz w:val="24"/>
          <w:szCs w:val="24"/>
        </w:rPr>
      </w:pPr>
      <w:r>
        <w:rPr>
          <w:rFonts w:ascii="Arial" w:hAnsi="Arial" w:cs="Arial"/>
          <w:sz w:val="24"/>
          <w:szCs w:val="24"/>
        </w:rPr>
        <w:t>a</w:t>
      </w:r>
      <w:r w:rsidR="00394797">
        <w:rPr>
          <w:rFonts w:ascii="Arial" w:hAnsi="Arial" w:cs="Arial"/>
          <w:sz w:val="24"/>
          <w:szCs w:val="24"/>
        </w:rPr>
        <w:t>nd</w:t>
      </w:r>
    </w:p>
    <w:p w:rsidR="009D30DD" w:rsidRDefault="009D30DD" w:rsidP="008D2E7A">
      <w:pPr>
        <w:tabs>
          <w:tab w:val="right" w:pos="8931"/>
        </w:tabs>
        <w:spacing w:before="240" w:after="120" w:line="240" w:lineRule="auto"/>
        <w:jc w:val="both"/>
        <w:rPr>
          <w:rFonts w:ascii="Arial" w:hAnsi="Arial" w:cs="Arial"/>
          <w:sz w:val="24"/>
          <w:szCs w:val="24"/>
        </w:rPr>
      </w:pPr>
    </w:p>
    <w:p w:rsidR="00394797" w:rsidRPr="00165FB4" w:rsidRDefault="00394797" w:rsidP="008D2E7A">
      <w:pPr>
        <w:tabs>
          <w:tab w:val="right" w:pos="8931"/>
        </w:tabs>
        <w:spacing w:before="240" w:after="120" w:line="240" w:lineRule="auto"/>
        <w:jc w:val="both"/>
        <w:rPr>
          <w:rFonts w:ascii="Arial" w:hAnsi="Arial" w:cs="Arial"/>
          <w:sz w:val="24"/>
          <w:szCs w:val="24"/>
        </w:rPr>
      </w:pPr>
      <w:r w:rsidRPr="00AA1343">
        <w:rPr>
          <w:rFonts w:ascii="Arial" w:hAnsi="Arial" w:cs="Arial"/>
          <w:b/>
          <w:sz w:val="24"/>
          <w:szCs w:val="24"/>
        </w:rPr>
        <w:t xml:space="preserve">CHAMBER OF MINES OF SOUTH AFRICA </w:t>
      </w:r>
      <w:r>
        <w:rPr>
          <w:rFonts w:ascii="Arial" w:hAnsi="Arial" w:cs="Arial"/>
          <w:b/>
          <w:sz w:val="24"/>
          <w:szCs w:val="24"/>
        </w:rPr>
        <w:tab/>
      </w:r>
      <w:r w:rsidRPr="00394797">
        <w:rPr>
          <w:rFonts w:ascii="Arial" w:hAnsi="Arial" w:cs="Arial"/>
          <w:sz w:val="24"/>
          <w:szCs w:val="24"/>
        </w:rPr>
        <w:t>First Respondent</w:t>
      </w:r>
      <w:r w:rsidRPr="00AA1343">
        <w:rPr>
          <w:rFonts w:ascii="Arial" w:hAnsi="Arial" w:cs="Arial"/>
          <w:b/>
          <w:sz w:val="24"/>
          <w:szCs w:val="24"/>
        </w:rPr>
        <w:tab/>
      </w:r>
    </w:p>
    <w:p w:rsidR="00394797" w:rsidRPr="008D2E7A" w:rsidRDefault="00394797" w:rsidP="008D2E7A">
      <w:pPr>
        <w:tabs>
          <w:tab w:val="right" w:pos="8931"/>
        </w:tabs>
        <w:spacing w:before="240" w:after="120" w:line="240" w:lineRule="auto"/>
        <w:jc w:val="both"/>
        <w:rPr>
          <w:rFonts w:ascii="Arial" w:hAnsi="Arial" w:cs="Arial"/>
          <w:b/>
          <w:sz w:val="24"/>
          <w:szCs w:val="24"/>
        </w:rPr>
      </w:pPr>
      <w:r w:rsidRPr="008D2E7A">
        <w:rPr>
          <w:rFonts w:ascii="Arial" w:hAnsi="Arial" w:cs="Arial"/>
          <w:b/>
          <w:sz w:val="24"/>
          <w:szCs w:val="24"/>
        </w:rPr>
        <w:t>acting in its own name &amp; o</w:t>
      </w:r>
      <w:r w:rsidR="009D30DD">
        <w:rPr>
          <w:rFonts w:ascii="Arial" w:hAnsi="Arial" w:cs="Arial"/>
          <w:b/>
          <w:sz w:val="24"/>
          <w:szCs w:val="24"/>
        </w:rPr>
        <w:t xml:space="preserve">n </w:t>
      </w:r>
      <w:r w:rsidRPr="008D2E7A">
        <w:rPr>
          <w:rFonts w:ascii="Arial" w:hAnsi="Arial" w:cs="Arial"/>
          <w:b/>
          <w:sz w:val="24"/>
          <w:szCs w:val="24"/>
        </w:rPr>
        <w:t>b</w:t>
      </w:r>
      <w:r w:rsidR="009D30DD">
        <w:rPr>
          <w:rFonts w:ascii="Arial" w:hAnsi="Arial" w:cs="Arial"/>
          <w:b/>
          <w:sz w:val="24"/>
          <w:szCs w:val="24"/>
        </w:rPr>
        <w:t xml:space="preserve">ehalf </w:t>
      </w:r>
      <w:r w:rsidRPr="008D2E7A">
        <w:rPr>
          <w:rFonts w:ascii="Arial" w:hAnsi="Arial" w:cs="Arial"/>
          <w:b/>
          <w:sz w:val="24"/>
          <w:szCs w:val="24"/>
        </w:rPr>
        <w:t>o</w:t>
      </w:r>
      <w:r w:rsidR="009D30DD">
        <w:rPr>
          <w:rFonts w:ascii="Arial" w:hAnsi="Arial" w:cs="Arial"/>
          <w:b/>
          <w:sz w:val="24"/>
          <w:szCs w:val="24"/>
        </w:rPr>
        <w:t>f</w:t>
      </w:r>
    </w:p>
    <w:p w:rsidR="00394797" w:rsidRPr="00AA1343" w:rsidRDefault="00394797" w:rsidP="008D2E7A">
      <w:pPr>
        <w:tabs>
          <w:tab w:val="right" w:pos="8931"/>
        </w:tabs>
        <w:spacing w:before="240" w:after="120"/>
        <w:jc w:val="both"/>
        <w:rPr>
          <w:rFonts w:ascii="Arial" w:hAnsi="Arial" w:cs="Arial"/>
          <w:b/>
          <w:sz w:val="24"/>
          <w:szCs w:val="24"/>
        </w:rPr>
      </w:pPr>
      <w:r w:rsidRPr="00AA1343">
        <w:rPr>
          <w:rFonts w:ascii="Arial" w:hAnsi="Arial" w:cs="Arial"/>
          <w:b/>
          <w:sz w:val="24"/>
          <w:szCs w:val="24"/>
        </w:rPr>
        <w:t>HARMONY GOLD MINING COMPANY LTD</w:t>
      </w:r>
    </w:p>
    <w:p w:rsidR="00394797" w:rsidRDefault="00394797" w:rsidP="008D2E7A">
      <w:pPr>
        <w:tabs>
          <w:tab w:val="right" w:pos="8931"/>
        </w:tabs>
        <w:spacing w:before="240" w:after="120"/>
        <w:jc w:val="both"/>
        <w:rPr>
          <w:rFonts w:ascii="Arial" w:hAnsi="Arial" w:cs="Arial"/>
          <w:b/>
          <w:sz w:val="24"/>
          <w:szCs w:val="24"/>
        </w:rPr>
      </w:pPr>
      <w:r w:rsidRPr="00AA1343">
        <w:rPr>
          <w:rFonts w:ascii="Arial" w:hAnsi="Arial" w:cs="Arial"/>
          <w:b/>
          <w:sz w:val="24"/>
          <w:szCs w:val="24"/>
        </w:rPr>
        <w:t>ANGLOGOLD ASHANTI LTD</w:t>
      </w:r>
    </w:p>
    <w:p w:rsidR="00394797" w:rsidRPr="00394797" w:rsidRDefault="00394797" w:rsidP="008D2E7A">
      <w:pPr>
        <w:tabs>
          <w:tab w:val="right" w:pos="8931"/>
        </w:tabs>
        <w:spacing w:before="240" w:after="120"/>
        <w:jc w:val="both"/>
        <w:rPr>
          <w:rFonts w:ascii="Arial" w:hAnsi="Arial" w:cs="Arial"/>
          <w:sz w:val="24"/>
          <w:szCs w:val="24"/>
        </w:rPr>
      </w:pPr>
      <w:r w:rsidRPr="00AA1343">
        <w:rPr>
          <w:rFonts w:ascii="Arial" w:hAnsi="Arial" w:cs="Arial"/>
          <w:b/>
          <w:sz w:val="24"/>
          <w:szCs w:val="24"/>
        </w:rPr>
        <w:t xml:space="preserve">SIBANYE GOLD LTD </w:t>
      </w:r>
      <w:r>
        <w:rPr>
          <w:rFonts w:ascii="Arial" w:hAnsi="Arial" w:cs="Arial"/>
          <w:b/>
          <w:sz w:val="24"/>
          <w:szCs w:val="24"/>
        </w:rPr>
        <w:tab/>
      </w:r>
      <w:r w:rsidRPr="00394797">
        <w:rPr>
          <w:rFonts w:ascii="Arial" w:hAnsi="Arial" w:cs="Arial"/>
          <w:sz w:val="24"/>
          <w:szCs w:val="24"/>
        </w:rPr>
        <w:t xml:space="preserve"> </w:t>
      </w:r>
    </w:p>
    <w:p w:rsidR="00394797" w:rsidRPr="00AA1343" w:rsidRDefault="00394797" w:rsidP="008D2E7A">
      <w:pPr>
        <w:tabs>
          <w:tab w:val="left" w:pos="5725"/>
          <w:tab w:val="left" w:pos="6048"/>
          <w:tab w:val="left" w:pos="6762"/>
          <w:tab w:val="right" w:pos="8931"/>
        </w:tabs>
        <w:spacing w:before="240" w:after="120" w:line="360" w:lineRule="auto"/>
        <w:jc w:val="both"/>
        <w:rPr>
          <w:rFonts w:ascii="Arial" w:hAnsi="Arial" w:cs="Arial"/>
          <w:b/>
          <w:sz w:val="24"/>
          <w:szCs w:val="24"/>
        </w:rPr>
      </w:pPr>
      <w:r w:rsidRPr="00AA1343">
        <w:rPr>
          <w:rFonts w:ascii="Arial" w:hAnsi="Arial" w:cs="Arial"/>
          <w:b/>
          <w:sz w:val="24"/>
          <w:szCs w:val="24"/>
        </w:rPr>
        <w:t>N</w:t>
      </w:r>
      <w:r>
        <w:rPr>
          <w:rFonts w:ascii="Arial" w:hAnsi="Arial" w:cs="Arial"/>
          <w:b/>
          <w:sz w:val="24"/>
          <w:szCs w:val="24"/>
        </w:rPr>
        <w:t>ATIONAL UNION OF MINEWORKERS</w:t>
      </w:r>
      <w:r w:rsidRPr="00AA1343">
        <w:rPr>
          <w:rFonts w:ascii="Arial" w:hAnsi="Arial" w:cs="Arial"/>
          <w:b/>
          <w:sz w:val="24"/>
          <w:szCs w:val="24"/>
        </w:rPr>
        <w:tab/>
      </w:r>
      <w:r>
        <w:rPr>
          <w:rFonts w:ascii="Arial" w:hAnsi="Arial" w:cs="Arial"/>
          <w:b/>
          <w:sz w:val="24"/>
          <w:szCs w:val="24"/>
        </w:rPr>
        <w:tab/>
        <w:t xml:space="preserve">         </w:t>
      </w:r>
      <w:r w:rsidRPr="00165FB4">
        <w:rPr>
          <w:rFonts w:ascii="Arial" w:hAnsi="Arial" w:cs="Arial"/>
          <w:sz w:val="24"/>
          <w:szCs w:val="24"/>
        </w:rPr>
        <w:t>Second Respondent</w:t>
      </w:r>
    </w:p>
    <w:p w:rsidR="00394797" w:rsidRPr="00AA1343" w:rsidRDefault="00394797" w:rsidP="008D2E7A">
      <w:pPr>
        <w:tabs>
          <w:tab w:val="left" w:pos="5841"/>
          <w:tab w:val="left" w:pos="6048"/>
          <w:tab w:val="left" w:pos="6762"/>
          <w:tab w:val="right" w:pos="8931"/>
        </w:tabs>
        <w:spacing w:before="240" w:after="120" w:line="360" w:lineRule="auto"/>
        <w:jc w:val="both"/>
        <w:rPr>
          <w:rFonts w:ascii="Arial" w:hAnsi="Arial" w:cs="Arial"/>
          <w:b/>
          <w:sz w:val="24"/>
          <w:szCs w:val="24"/>
        </w:rPr>
      </w:pPr>
      <w:r w:rsidRPr="00AA1343">
        <w:rPr>
          <w:rFonts w:ascii="Arial" w:hAnsi="Arial" w:cs="Arial"/>
          <w:b/>
          <w:sz w:val="24"/>
          <w:szCs w:val="24"/>
        </w:rPr>
        <w:t>SOLIDARITY</w:t>
      </w:r>
      <w:r w:rsidRPr="00AA1343">
        <w:rPr>
          <w:rFonts w:ascii="Arial" w:hAnsi="Arial" w:cs="Arial"/>
          <w:b/>
          <w:sz w:val="24"/>
          <w:szCs w:val="24"/>
        </w:rPr>
        <w:tab/>
      </w:r>
      <w:r>
        <w:rPr>
          <w:rFonts w:ascii="Arial" w:hAnsi="Arial" w:cs="Arial"/>
          <w:b/>
          <w:sz w:val="24"/>
          <w:szCs w:val="24"/>
        </w:rPr>
        <w:t xml:space="preserve">                </w:t>
      </w:r>
      <w:r w:rsidRPr="00165FB4">
        <w:rPr>
          <w:rFonts w:ascii="Arial" w:hAnsi="Arial" w:cs="Arial"/>
          <w:sz w:val="24"/>
          <w:szCs w:val="24"/>
        </w:rPr>
        <w:t>Third Respondent</w:t>
      </w:r>
    </w:p>
    <w:p w:rsidR="00394797" w:rsidRDefault="00394797" w:rsidP="008D2E7A">
      <w:pPr>
        <w:tabs>
          <w:tab w:val="left" w:pos="5760"/>
          <w:tab w:val="left" w:pos="5990"/>
          <w:tab w:val="left" w:pos="6785"/>
          <w:tab w:val="right" w:pos="8931"/>
        </w:tabs>
        <w:spacing w:before="240" w:after="120" w:line="360" w:lineRule="auto"/>
        <w:jc w:val="both"/>
        <w:rPr>
          <w:rFonts w:ascii="Arial" w:hAnsi="Arial" w:cs="Arial"/>
          <w:sz w:val="24"/>
          <w:szCs w:val="24"/>
        </w:rPr>
      </w:pPr>
      <w:r>
        <w:rPr>
          <w:rFonts w:ascii="Arial" w:hAnsi="Arial" w:cs="Arial"/>
          <w:b/>
          <w:sz w:val="24"/>
          <w:szCs w:val="24"/>
        </w:rPr>
        <w:t>UNITED ASSOCIATION OF SA</w:t>
      </w:r>
      <w:r w:rsidRPr="00AA1343">
        <w:rPr>
          <w:rFonts w:ascii="Arial" w:hAnsi="Arial" w:cs="Arial"/>
          <w:b/>
          <w:sz w:val="24"/>
          <w:szCs w:val="24"/>
        </w:rPr>
        <w:tab/>
      </w:r>
      <w:r>
        <w:rPr>
          <w:rFonts w:ascii="Arial" w:hAnsi="Arial" w:cs="Arial"/>
          <w:b/>
          <w:sz w:val="24"/>
          <w:szCs w:val="24"/>
        </w:rPr>
        <w:t xml:space="preserve">               </w:t>
      </w:r>
      <w:r w:rsidRPr="00165FB4">
        <w:rPr>
          <w:rFonts w:ascii="Arial" w:hAnsi="Arial" w:cs="Arial"/>
          <w:sz w:val="24"/>
          <w:szCs w:val="24"/>
        </w:rPr>
        <w:t>Fourth Respondent</w:t>
      </w:r>
    </w:p>
    <w:p w:rsidR="00394797" w:rsidRDefault="00394797" w:rsidP="008D2E7A">
      <w:pPr>
        <w:tabs>
          <w:tab w:val="left" w:pos="5760"/>
          <w:tab w:val="left" w:pos="5990"/>
          <w:tab w:val="left" w:pos="6785"/>
          <w:tab w:val="right" w:pos="8931"/>
        </w:tabs>
        <w:spacing w:before="240" w:after="120" w:line="360" w:lineRule="auto"/>
        <w:jc w:val="both"/>
        <w:rPr>
          <w:rFonts w:ascii="Arial" w:hAnsi="Arial" w:cs="Arial"/>
          <w:sz w:val="24"/>
          <w:szCs w:val="24"/>
        </w:rPr>
      </w:pPr>
      <w:r w:rsidRPr="00394797">
        <w:rPr>
          <w:rFonts w:ascii="Arial" w:hAnsi="Arial" w:cs="Arial"/>
          <w:b/>
          <w:sz w:val="24"/>
          <w:szCs w:val="24"/>
        </w:rPr>
        <w:t>MINISTER OF LABOUR</w:t>
      </w:r>
      <w:r>
        <w:rPr>
          <w:rFonts w:ascii="Arial" w:hAnsi="Arial" w:cs="Arial"/>
          <w:sz w:val="24"/>
          <w:szCs w:val="24"/>
        </w:rPr>
        <w:tab/>
      </w:r>
      <w:r>
        <w:rPr>
          <w:rFonts w:ascii="Arial" w:hAnsi="Arial" w:cs="Arial"/>
          <w:sz w:val="24"/>
          <w:szCs w:val="24"/>
        </w:rPr>
        <w:tab/>
      </w:r>
      <w:r>
        <w:rPr>
          <w:rFonts w:ascii="Arial" w:hAnsi="Arial" w:cs="Arial"/>
          <w:sz w:val="24"/>
          <w:szCs w:val="24"/>
        </w:rPr>
        <w:tab/>
        <w:t>Fifth Respondent</w:t>
      </w:r>
    </w:p>
    <w:p w:rsidR="00394797" w:rsidRPr="00394797" w:rsidRDefault="00394797" w:rsidP="008D2E7A">
      <w:pPr>
        <w:tabs>
          <w:tab w:val="left" w:pos="5760"/>
          <w:tab w:val="left" w:pos="5990"/>
          <w:tab w:val="left" w:pos="6785"/>
          <w:tab w:val="right" w:pos="8931"/>
        </w:tabs>
        <w:spacing w:before="240" w:after="120" w:line="240" w:lineRule="auto"/>
        <w:jc w:val="both"/>
        <w:rPr>
          <w:rFonts w:ascii="Arial" w:hAnsi="Arial" w:cs="Arial"/>
          <w:b/>
          <w:sz w:val="24"/>
          <w:szCs w:val="24"/>
        </w:rPr>
      </w:pPr>
      <w:r w:rsidRPr="00394797">
        <w:rPr>
          <w:rFonts w:ascii="Arial" w:hAnsi="Arial" w:cs="Arial"/>
          <w:b/>
          <w:sz w:val="24"/>
          <w:szCs w:val="24"/>
        </w:rPr>
        <w:t>MINISTER OF JUSTICE</w:t>
      </w:r>
    </w:p>
    <w:p w:rsidR="00394797" w:rsidRDefault="00394797" w:rsidP="008D2E7A">
      <w:pPr>
        <w:tabs>
          <w:tab w:val="left" w:pos="5760"/>
          <w:tab w:val="left" w:pos="5990"/>
          <w:tab w:val="left" w:pos="6785"/>
          <w:tab w:val="right" w:pos="8931"/>
        </w:tabs>
        <w:spacing w:before="240" w:after="120" w:line="240" w:lineRule="auto"/>
        <w:jc w:val="both"/>
        <w:rPr>
          <w:rFonts w:ascii="Arial" w:hAnsi="Arial" w:cs="Arial"/>
          <w:b/>
          <w:sz w:val="24"/>
          <w:szCs w:val="24"/>
        </w:rPr>
      </w:pPr>
      <w:r w:rsidRPr="00394797">
        <w:rPr>
          <w:rFonts w:ascii="Arial" w:hAnsi="Arial" w:cs="Arial"/>
          <w:b/>
          <w:sz w:val="24"/>
          <w:szCs w:val="24"/>
        </w:rPr>
        <w:t>AND CONSTI</w:t>
      </w:r>
      <w:r>
        <w:rPr>
          <w:rFonts w:ascii="Arial" w:hAnsi="Arial" w:cs="Arial"/>
          <w:b/>
          <w:sz w:val="24"/>
          <w:szCs w:val="24"/>
        </w:rPr>
        <w:t>T</w:t>
      </w:r>
      <w:r w:rsidRPr="00394797">
        <w:rPr>
          <w:rFonts w:ascii="Arial" w:hAnsi="Arial" w:cs="Arial"/>
          <w:b/>
          <w:sz w:val="24"/>
          <w:szCs w:val="24"/>
        </w:rPr>
        <w:t>UTIONAL DEVELOPMENT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Sixth Respondent</w:t>
      </w:r>
    </w:p>
    <w:p w:rsidR="00394797" w:rsidRPr="00394797" w:rsidRDefault="00394797" w:rsidP="008D2E7A">
      <w:pPr>
        <w:tabs>
          <w:tab w:val="right" w:pos="8931"/>
        </w:tabs>
        <w:spacing w:before="240" w:after="120" w:line="240" w:lineRule="auto"/>
        <w:jc w:val="both"/>
        <w:rPr>
          <w:rFonts w:ascii="Arial" w:hAnsi="Arial" w:cs="Arial"/>
          <w:sz w:val="24"/>
          <w:szCs w:val="24"/>
        </w:rPr>
      </w:pPr>
    </w:p>
    <w:p w:rsidR="009D30DD" w:rsidRDefault="009D30DD" w:rsidP="00A93525">
      <w:pPr>
        <w:tabs>
          <w:tab w:val="right" w:pos="8931"/>
        </w:tabs>
        <w:spacing w:before="240" w:after="120"/>
        <w:rPr>
          <w:rFonts w:ascii="Arial" w:hAnsi="Arial" w:cs="Arial"/>
          <w:b/>
          <w:sz w:val="24"/>
          <w:szCs w:val="24"/>
        </w:rPr>
      </w:pPr>
    </w:p>
    <w:p w:rsidR="00A93525" w:rsidRPr="00AA1343" w:rsidRDefault="001D6384" w:rsidP="00A93525">
      <w:pPr>
        <w:tabs>
          <w:tab w:val="right" w:pos="8931"/>
        </w:tabs>
        <w:spacing w:before="240" w:after="120"/>
        <w:rPr>
          <w:rFonts w:ascii="Arial" w:hAnsi="Arial" w:cs="Arial"/>
          <w:b/>
          <w:sz w:val="24"/>
          <w:szCs w:val="24"/>
        </w:rPr>
      </w:pPr>
      <w:r>
        <w:rPr>
          <w:rFonts w:ascii="Arial" w:hAnsi="Arial" w:cs="Arial"/>
          <w:b/>
          <w:sz w:val="24"/>
          <w:szCs w:val="24"/>
        </w:rPr>
        <w:lastRenderedPageBreak/>
        <w:t xml:space="preserve">Heard: </w:t>
      </w:r>
      <w:r w:rsidR="00635B83">
        <w:rPr>
          <w:rFonts w:ascii="Arial" w:hAnsi="Arial" w:cs="Arial"/>
          <w:b/>
          <w:sz w:val="24"/>
          <w:szCs w:val="24"/>
        </w:rPr>
        <w:t xml:space="preserve"> 5 and 6</w:t>
      </w:r>
      <w:r>
        <w:rPr>
          <w:rFonts w:ascii="Arial" w:hAnsi="Arial" w:cs="Arial"/>
          <w:b/>
          <w:sz w:val="24"/>
          <w:szCs w:val="24"/>
        </w:rPr>
        <w:t xml:space="preserve"> June</w:t>
      </w:r>
      <w:r w:rsidR="00A93525" w:rsidRPr="00AA1343">
        <w:rPr>
          <w:rFonts w:ascii="Arial" w:hAnsi="Arial" w:cs="Arial"/>
          <w:b/>
          <w:sz w:val="24"/>
          <w:szCs w:val="24"/>
        </w:rPr>
        <w:t xml:space="preserve"> 2014</w:t>
      </w:r>
    </w:p>
    <w:p w:rsidR="00A93525" w:rsidRDefault="00A826E5" w:rsidP="00A93525">
      <w:pPr>
        <w:tabs>
          <w:tab w:val="right" w:pos="8931"/>
        </w:tabs>
        <w:spacing w:before="240" w:after="120"/>
        <w:rPr>
          <w:rFonts w:ascii="Arial" w:hAnsi="Arial" w:cs="Arial"/>
          <w:b/>
          <w:sz w:val="24"/>
          <w:szCs w:val="24"/>
        </w:rPr>
      </w:pPr>
      <w:r>
        <w:rPr>
          <w:rFonts w:ascii="Arial" w:hAnsi="Arial" w:cs="Arial"/>
          <w:b/>
          <w:sz w:val="24"/>
          <w:szCs w:val="24"/>
        </w:rPr>
        <w:t>Judgment d</w:t>
      </w:r>
      <w:r w:rsidR="001D6384">
        <w:rPr>
          <w:rFonts w:ascii="Arial" w:hAnsi="Arial" w:cs="Arial"/>
          <w:b/>
          <w:sz w:val="24"/>
          <w:szCs w:val="24"/>
        </w:rPr>
        <w:t xml:space="preserve">elivered: </w:t>
      </w:r>
      <w:r w:rsidR="00A54FBE">
        <w:rPr>
          <w:rFonts w:ascii="Arial" w:hAnsi="Arial" w:cs="Arial"/>
          <w:b/>
          <w:sz w:val="24"/>
          <w:szCs w:val="24"/>
        </w:rPr>
        <w:t>23</w:t>
      </w:r>
      <w:r w:rsidR="00CE07C6">
        <w:rPr>
          <w:rFonts w:ascii="Arial" w:hAnsi="Arial" w:cs="Arial"/>
          <w:b/>
          <w:sz w:val="24"/>
          <w:szCs w:val="24"/>
        </w:rPr>
        <w:t xml:space="preserve"> </w:t>
      </w:r>
      <w:r w:rsidR="001D6384">
        <w:rPr>
          <w:rFonts w:ascii="Arial" w:hAnsi="Arial" w:cs="Arial"/>
          <w:b/>
          <w:sz w:val="24"/>
          <w:szCs w:val="24"/>
        </w:rPr>
        <w:t>June</w:t>
      </w:r>
      <w:r w:rsidR="00A93525" w:rsidRPr="00AA1343">
        <w:rPr>
          <w:rFonts w:ascii="Arial" w:hAnsi="Arial" w:cs="Arial"/>
          <w:b/>
          <w:sz w:val="24"/>
          <w:szCs w:val="24"/>
        </w:rPr>
        <w:t xml:space="preserve"> 2014</w:t>
      </w:r>
    </w:p>
    <w:p w:rsidR="00A93525" w:rsidRPr="00AA1343" w:rsidRDefault="00A93525" w:rsidP="00A93525">
      <w:pPr>
        <w:tabs>
          <w:tab w:val="right" w:pos="8931"/>
        </w:tabs>
        <w:spacing w:before="240" w:after="120"/>
        <w:rPr>
          <w:rFonts w:ascii="Arial" w:hAnsi="Arial" w:cs="Arial"/>
          <w:b/>
          <w:sz w:val="24"/>
          <w:szCs w:val="24"/>
        </w:rPr>
      </w:pPr>
    </w:p>
    <w:p w:rsidR="00A93525" w:rsidRDefault="00A93525" w:rsidP="00A93525">
      <w:pPr>
        <w:tabs>
          <w:tab w:val="right" w:pos="8931"/>
        </w:tabs>
        <w:spacing w:before="240" w:after="120" w:line="360" w:lineRule="auto"/>
        <w:jc w:val="both"/>
        <w:rPr>
          <w:rFonts w:ascii="Arial" w:hAnsi="Arial" w:cs="Arial"/>
          <w:b/>
          <w:sz w:val="24"/>
          <w:szCs w:val="24"/>
        </w:rPr>
      </w:pPr>
      <w:r w:rsidRPr="00AA1343">
        <w:rPr>
          <w:rFonts w:ascii="Arial" w:hAnsi="Arial" w:cs="Arial"/>
          <w:b/>
          <w:sz w:val="24"/>
          <w:szCs w:val="24"/>
        </w:rPr>
        <w:t xml:space="preserve">Summary: </w:t>
      </w:r>
      <w:r w:rsidR="008B6695">
        <w:rPr>
          <w:rFonts w:ascii="Arial" w:hAnsi="Arial" w:cs="Arial"/>
          <w:b/>
          <w:sz w:val="24"/>
          <w:szCs w:val="24"/>
        </w:rPr>
        <w:t xml:space="preserve">Return day of rule </w:t>
      </w:r>
      <w:r w:rsidR="008B6695">
        <w:rPr>
          <w:rFonts w:ascii="Arial" w:hAnsi="Arial" w:cs="Arial"/>
          <w:b/>
          <w:i/>
          <w:sz w:val="24"/>
          <w:szCs w:val="24"/>
        </w:rPr>
        <w:t xml:space="preserve">nisi - </w:t>
      </w:r>
      <w:r w:rsidR="008B6695">
        <w:rPr>
          <w:rFonts w:ascii="Arial" w:hAnsi="Arial" w:cs="Arial"/>
          <w:b/>
          <w:sz w:val="24"/>
          <w:szCs w:val="24"/>
        </w:rPr>
        <w:t>interim interdict granted in respect of strike action where collective agreement concluded with unions making up majority extended</w:t>
      </w:r>
      <w:r w:rsidR="008867D7">
        <w:rPr>
          <w:rFonts w:ascii="Arial" w:hAnsi="Arial" w:cs="Arial"/>
          <w:b/>
          <w:sz w:val="24"/>
          <w:szCs w:val="24"/>
        </w:rPr>
        <w:t xml:space="preserve"> in terms of s</w:t>
      </w:r>
      <w:r w:rsidRPr="00AA1343">
        <w:rPr>
          <w:rFonts w:ascii="Arial" w:hAnsi="Arial" w:cs="Arial"/>
          <w:b/>
          <w:sz w:val="24"/>
          <w:szCs w:val="24"/>
        </w:rPr>
        <w:t xml:space="preserve"> 23 (1) (d) of the LRA –</w:t>
      </w:r>
      <w:r w:rsidR="008867D7">
        <w:rPr>
          <w:rFonts w:ascii="Arial" w:hAnsi="Arial" w:cs="Arial"/>
          <w:b/>
          <w:sz w:val="24"/>
          <w:szCs w:val="24"/>
        </w:rPr>
        <w:t xml:space="preserve"> extension of agreement to </w:t>
      </w:r>
      <w:r w:rsidR="008D2E7A">
        <w:rPr>
          <w:rFonts w:ascii="Arial" w:hAnsi="Arial" w:cs="Arial"/>
          <w:b/>
          <w:sz w:val="24"/>
          <w:szCs w:val="24"/>
        </w:rPr>
        <w:t xml:space="preserve">those </w:t>
      </w:r>
      <w:r w:rsidR="008867D7">
        <w:rPr>
          <w:rFonts w:ascii="Arial" w:hAnsi="Arial" w:cs="Arial"/>
          <w:b/>
          <w:sz w:val="24"/>
          <w:szCs w:val="24"/>
        </w:rPr>
        <w:t>employees not members of unions party to the agreement valid – rule confirmed</w:t>
      </w:r>
      <w:r w:rsidRPr="00AA1343">
        <w:rPr>
          <w:rFonts w:ascii="Arial" w:hAnsi="Arial" w:cs="Arial"/>
          <w:b/>
          <w:sz w:val="24"/>
          <w:szCs w:val="24"/>
        </w:rPr>
        <w:t>.</w:t>
      </w:r>
      <w:r w:rsidR="008B6695">
        <w:rPr>
          <w:rFonts w:ascii="Arial" w:hAnsi="Arial" w:cs="Arial"/>
          <w:b/>
          <w:sz w:val="24"/>
          <w:szCs w:val="24"/>
        </w:rPr>
        <w:t xml:space="preserve"> </w:t>
      </w:r>
      <w:r w:rsidR="008867D7">
        <w:rPr>
          <w:rFonts w:ascii="Arial" w:hAnsi="Arial" w:cs="Arial"/>
          <w:b/>
          <w:sz w:val="24"/>
          <w:szCs w:val="24"/>
        </w:rPr>
        <w:t>Challenge to constitutionality of s 23 (1) (d) - section</w:t>
      </w:r>
      <w:r w:rsidR="008B6695">
        <w:rPr>
          <w:rFonts w:ascii="Arial" w:hAnsi="Arial" w:cs="Arial"/>
          <w:b/>
          <w:sz w:val="24"/>
          <w:szCs w:val="24"/>
        </w:rPr>
        <w:t xml:space="preserve"> not unconstitutional</w:t>
      </w:r>
      <w:r w:rsidR="008867D7">
        <w:rPr>
          <w:rFonts w:ascii="Arial" w:hAnsi="Arial" w:cs="Arial"/>
          <w:b/>
          <w:sz w:val="24"/>
          <w:szCs w:val="24"/>
        </w:rPr>
        <w:t>, constitutes justifiable</w:t>
      </w:r>
      <w:r w:rsidR="00CE07C6">
        <w:rPr>
          <w:rFonts w:ascii="Arial" w:hAnsi="Arial" w:cs="Arial"/>
          <w:b/>
          <w:sz w:val="24"/>
          <w:szCs w:val="24"/>
        </w:rPr>
        <w:t xml:space="preserve"> limitation on right to engage in collective bargaining</w:t>
      </w:r>
      <w:r w:rsidR="008867D7">
        <w:rPr>
          <w:rFonts w:ascii="Arial" w:hAnsi="Arial" w:cs="Arial"/>
          <w:b/>
          <w:sz w:val="24"/>
          <w:szCs w:val="24"/>
        </w:rPr>
        <w:t xml:space="preserve"> and to strike</w:t>
      </w:r>
      <w:r w:rsidR="008B6695">
        <w:rPr>
          <w:rFonts w:ascii="Arial" w:hAnsi="Arial" w:cs="Arial"/>
          <w:b/>
          <w:sz w:val="24"/>
          <w:szCs w:val="24"/>
        </w:rPr>
        <w:t>.</w:t>
      </w:r>
    </w:p>
    <w:p w:rsidR="00A93525" w:rsidRDefault="00A93525" w:rsidP="00A93525">
      <w:pPr>
        <w:pBdr>
          <w:bottom w:val="single" w:sz="12" w:space="1" w:color="auto"/>
        </w:pBdr>
        <w:tabs>
          <w:tab w:val="right" w:pos="8931"/>
        </w:tabs>
        <w:spacing w:before="240" w:after="120" w:line="360" w:lineRule="auto"/>
        <w:rPr>
          <w:rFonts w:ascii="Arial" w:hAnsi="Arial" w:cs="Arial"/>
          <w:b/>
          <w:sz w:val="24"/>
          <w:szCs w:val="24"/>
        </w:rPr>
      </w:pPr>
    </w:p>
    <w:p w:rsidR="00A93525" w:rsidRPr="00AA1343" w:rsidRDefault="00A93525" w:rsidP="00A93525">
      <w:pPr>
        <w:tabs>
          <w:tab w:val="right" w:pos="8931"/>
        </w:tabs>
        <w:spacing w:before="240" w:after="120" w:line="360" w:lineRule="auto"/>
        <w:jc w:val="center"/>
        <w:rPr>
          <w:rFonts w:ascii="Arial" w:hAnsi="Arial" w:cs="Arial"/>
          <w:b/>
          <w:sz w:val="24"/>
          <w:szCs w:val="24"/>
        </w:rPr>
      </w:pPr>
      <w:r w:rsidRPr="00AA1343">
        <w:rPr>
          <w:rFonts w:ascii="Arial" w:hAnsi="Arial" w:cs="Arial"/>
          <w:b/>
          <w:sz w:val="24"/>
          <w:szCs w:val="24"/>
        </w:rPr>
        <w:t>JUDGMENT</w:t>
      </w:r>
    </w:p>
    <w:p w:rsidR="00A93525" w:rsidRPr="0071489B" w:rsidRDefault="00CE07C6" w:rsidP="00A93525">
      <w:pPr>
        <w:tabs>
          <w:tab w:val="right" w:pos="8931"/>
        </w:tabs>
        <w:spacing w:before="240" w:after="120" w:line="360" w:lineRule="auto"/>
        <w:jc w:val="center"/>
        <w:rPr>
          <w:rFonts w:ascii="Arial" w:hAnsi="Arial" w:cs="Arial"/>
          <w:b/>
          <w:sz w:val="24"/>
          <w:szCs w:val="24"/>
        </w:rPr>
      </w:pPr>
      <w:r>
        <w:rPr>
          <w:rFonts w:ascii="Arial" w:hAnsi="Arial" w:cs="Arial"/>
          <w:b/>
          <w:sz w:val="24"/>
          <w:szCs w:val="24"/>
        </w:rPr>
        <w:t>____</w:t>
      </w:r>
      <w:r w:rsidR="00A93525" w:rsidRPr="0071489B">
        <w:rPr>
          <w:rFonts w:ascii="Arial" w:hAnsi="Arial" w:cs="Arial"/>
          <w:b/>
          <w:sz w:val="24"/>
          <w:szCs w:val="24"/>
        </w:rPr>
        <w:t>__________________________________________________________________</w:t>
      </w:r>
    </w:p>
    <w:p w:rsidR="00A93525" w:rsidRPr="001D6384" w:rsidRDefault="001D6384" w:rsidP="00A93525">
      <w:pPr>
        <w:keepNext/>
        <w:spacing w:before="240" w:after="120" w:line="360" w:lineRule="auto"/>
        <w:jc w:val="both"/>
        <w:outlineLvl w:val="0"/>
        <w:rPr>
          <w:rFonts w:ascii="Arial" w:eastAsia="Times New Roman" w:hAnsi="Arial" w:cs="Arial"/>
          <w:b/>
          <w:bCs/>
          <w:sz w:val="24"/>
          <w:szCs w:val="24"/>
        </w:rPr>
      </w:pPr>
      <w:r w:rsidRPr="001D6384">
        <w:rPr>
          <w:rFonts w:ascii="Arial" w:eastAsia="Times New Roman" w:hAnsi="Arial" w:cs="Arial"/>
          <w:b/>
          <w:bCs/>
          <w:sz w:val="24"/>
          <w:szCs w:val="24"/>
        </w:rPr>
        <w:t>VAN NIEKERK J</w:t>
      </w:r>
    </w:p>
    <w:p w:rsidR="001D6384" w:rsidRDefault="001D6384" w:rsidP="00A93525">
      <w:pPr>
        <w:keepNext/>
        <w:spacing w:before="240" w:after="120" w:line="360" w:lineRule="auto"/>
        <w:jc w:val="both"/>
        <w:outlineLvl w:val="0"/>
        <w:rPr>
          <w:rFonts w:ascii="Arial" w:eastAsia="Times New Roman" w:hAnsi="Arial" w:cs="Arial"/>
          <w:bCs/>
          <w:sz w:val="24"/>
          <w:szCs w:val="24"/>
          <w:u w:val="single"/>
        </w:rPr>
      </w:pPr>
      <w:r w:rsidRPr="001D6384">
        <w:rPr>
          <w:rFonts w:ascii="Arial" w:eastAsia="Times New Roman" w:hAnsi="Arial" w:cs="Arial"/>
          <w:bCs/>
          <w:sz w:val="24"/>
          <w:szCs w:val="24"/>
          <w:u w:val="single"/>
        </w:rPr>
        <w:t>Introduction</w:t>
      </w:r>
    </w:p>
    <w:p w:rsidR="00EA3217" w:rsidRDefault="001D6384" w:rsidP="00F47A1E">
      <w:pPr>
        <w:keepNext/>
        <w:spacing w:before="240" w:after="120" w:line="360" w:lineRule="auto"/>
        <w:ind w:left="720" w:hanging="720"/>
        <w:jc w:val="both"/>
        <w:outlineLvl w:val="0"/>
        <w:rPr>
          <w:rFonts w:ascii="Arial" w:eastAsia="Times New Roman" w:hAnsi="Arial" w:cs="Arial"/>
          <w:sz w:val="24"/>
          <w:szCs w:val="24"/>
          <w:lang w:val="en-GB" w:eastAsia="en-GB"/>
        </w:rPr>
      </w:pPr>
      <w:r w:rsidRPr="001D6384">
        <w:rPr>
          <w:rFonts w:ascii="Arial" w:eastAsia="Times New Roman" w:hAnsi="Arial" w:cs="Arial"/>
          <w:bCs/>
          <w:sz w:val="24"/>
          <w:szCs w:val="24"/>
        </w:rPr>
        <w:t>[</w:t>
      </w:r>
      <w:r w:rsidR="00C42AAB">
        <w:rPr>
          <w:rFonts w:ascii="Arial" w:eastAsia="Times New Roman" w:hAnsi="Arial" w:cs="Arial"/>
          <w:bCs/>
          <w:sz w:val="24"/>
          <w:szCs w:val="24"/>
        </w:rPr>
        <w:t>1]</w:t>
      </w:r>
      <w:r w:rsidR="00C42AAB">
        <w:rPr>
          <w:rFonts w:ascii="Arial" w:eastAsia="Times New Roman" w:hAnsi="Arial" w:cs="Arial"/>
          <w:bCs/>
          <w:sz w:val="24"/>
          <w:szCs w:val="24"/>
        </w:rPr>
        <w:tab/>
      </w:r>
      <w:r w:rsidR="00E40FCF">
        <w:rPr>
          <w:rFonts w:ascii="Arial" w:eastAsia="Times New Roman" w:hAnsi="Arial" w:cs="Arial"/>
          <w:bCs/>
          <w:sz w:val="24"/>
          <w:szCs w:val="24"/>
        </w:rPr>
        <w:t xml:space="preserve">This is the return day of </w:t>
      </w:r>
      <w:r w:rsidR="00EA3217">
        <w:rPr>
          <w:rFonts w:ascii="Arial" w:eastAsia="Times New Roman" w:hAnsi="Arial" w:cs="Arial"/>
          <w:bCs/>
          <w:sz w:val="24"/>
          <w:szCs w:val="24"/>
        </w:rPr>
        <w:t xml:space="preserve">a rule </w:t>
      </w:r>
      <w:r w:rsidR="00EA3217" w:rsidRPr="002052AA">
        <w:rPr>
          <w:rFonts w:ascii="Arial" w:eastAsia="Times New Roman" w:hAnsi="Arial" w:cs="Arial"/>
          <w:bCs/>
          <w:i/>
          <w:sz w:val="24"/>
          <w:szCs w:val="24"/>
        </w:rPr>
        <w:t>nisi</w:t>
      </w:r>
      <w:r w:rsidR="00EA3217">
        <w:rPr>
          <w:rFonts w:ascii="Arial" w:eastAsia="Times New Roman" w:hAnsi="Arial" w:cs="Arial"/>
          <w:bCs/>
          <w:sz w:val="24"/>
          <w:szCs w:val="24"/>
        </w:rPr>
        <w:t xml:space="preserve">, issued </w:t>
      </w:r>
      <w:r w:rsidR="004B74F7">
        <w:rPr>
          <w:rFonts w:ascii="Arial" w:eastAsia="Times New Roman" w:hAnsi="Arial" w:cs="Arial"/>
          <w:bCs/>
          <w:sz w:val="24"/>
          <w:szCs w:val="24"/>
        </w:rPr>
        <w:t>by</w:t>
      </w:r>
      <w:r w:rsidR="00C42AAB">
        <w:rPr>
          <w:rFonts w:ascii="Arial" w:eastAsia="Times New Roman" w:hAnsi="Arial" w:cs="Arial"/>
          <w:bCs/>
          <w:sz w:val="24"/>
          <w:szCs w:val="24"/>
        </w:rPr>
        <w:t xml:space="preserve"> Cele J on 30 January</w:t>
      </w:r>
      <w:r w:rsidR="00EA3217">
        <w:rPr>
          <w:rFonts w:ascii="Arial" w:eastAsia="Times New Roman" w:hAnsi="Arial" w:cs="Arial"/>
          <w:bCs/>
          <w:sz w:val="24"/>
          <w:szCs w:val="24"/>
        </w:rPr>
        <w:t xml:space="preserve"> 2014.</w:t>
      </w:r>
      <w:r w:rsidR="008F0A98">
        <w:rPr>
          <w:rStyle w:val="FootnoteReference"/>
          <w:rFonts w:ascii="Arial" w:eastAsia="Times New Roman" w:hAnsi="Arial" w:cs="Arial"/>
          <w:bCs/>
          <w:sz w:val="24"/>
          <w:szCs w:val="24"/>
        </w:rPr>
        <w:footnoteReference w:id="1"/>
      </w:r>
      <w:r w:rsidR="00EA3217">
        <w:rPr>
          <w:rFonts w:ascii="Arial" w:eastAsia="Times New Roman" w:hAnsi="Arial" w:cs="Arial"/>
          <w:bCs/>
          <w:sz w:val="24"/>
          <w:szCs w:val="24"/>
        </w:rPr>
        <w:t xml:space="preserve"> </w:t>
      </w:r>
      <w:r w:rsidR="008D2E7A">
        <w:rPr>
          <w:rFonts w:ascii="Arial" w:eastAsia="Times New Roman" w:hAnsi="Arial" w:cs="Arial"/>
          <w:sz w:val="24"/>
          <w:szCs w:val="24"/>
          <w:lang w:val="en-GB" w:eastAsia="en-GB"/>
        </w:rPr>
        <w:t xml:space="preserve">For various reasons, the return date was extended until 5 June 2014. </w:t>
      </w:r>
      <w:r w:rsidR="00C42AAB">
        <w:rPr>
          <w:rFonts w:ascii="Arial" w:eastAsia="Times New Roman" w:hAnsi="Arial" w:cs="Arial"/>
          <w:sz w:val="24"/>
          <w:szCs w:val="24"/>
          <w:lang w:val="en-GB" w:eastAsia="en-GB"/>
        </w:rPr>
        <w:t>During this period, the first respondent (AMCU) filed a supplementary</w:t>
      </w:r>
      <w:r w:rsidR="004C4008">
        <w:rPr>
          <w:rFonts w:ascii="Arial" w:eastAsia="Times New Roman" w:hAnsi="Arial" w:cs="Arial"/>
          <w:sz w:val="24"/>
          <w:szCs w:val="24"/>
          <w:lang w:val="en-GB" w:eastAsia="en-GB"/>
        </w:rPr>
        <w:t xml:space="preserve"> answering</w:t>
      </w:r>
      <w:r w:rsidR="00C42AAB">
        <w:rPr>
          <w:rFonts w:ascii="Arial" w:eastAsia="Times New Roman" w:hAnsi="Arial" w:cs="Arial"/>
          <w:sz w:val="24"/>
          <w:szCs w:val="24"/>
          <w:lang w:val="en-GB" w:eastAsia="en-GB"/>
        </w:rPr>
        <w:t xml:space="preserve"> affidavit, to which t</w:t>
      </w:r>
      <w:r w:rsidR="008B6695">
        <w:rPr>
          <w:rFonts w:ascii="Arial" w:eastAsia="Times New Roman" w:hAnsi="Arial" w:cs="Arial"/>
          <w:sz w:val="24"/>
          <w:szCs w:val="24"/>
          <w:lang w:val="en-GB" w:eastAsia="en-GB"/>
        </w:rPr>
        <w:t xml:space="preserve">he applicant (the Chamber) </w:t>
      </w:r>
      <w:r w:rsidR="00C42AAB">
        <w:rPr>
          <w:rFonts w:ascii="Arial" w:eastAsia="Times New Roman" w:hAnsi="Arial" w:cs="Arial"/>
          <w:sz w:val="24"/>
          <w:szCs w:val="24"/>
          <w:lang w:val="en-GB" w:eastAsia="en-GB"/>
        </w:rPr>
        <w:t xml:space="preserve">replied. The Chamber </w:t>
      </w:r>
      <w:r w:rsidR="008B6695">
        <w:rPr>
          <w:rFonts w:ascii="Arial" w:eastAsia="Times New Roman" w:hAnsi="Arial" w:cs="Arial"/>
          <w:sz w:val="24"/>
          <w:szCs w:val="24"/>
          <w:lang w:val="en-GB" w:eastAsia="en-GB"/>
        </w:rPr>
        <w:t>seeks to</w:t>
      </w:r>
      <w:r w:rsidR="00C42AAB">
        <w:rPr>
          <w:rFonts w:ascii="Arial" w:eastAsia="Times New Roman" w:hAnsi="Arial" w:cs="Arial"/>
          <w:sz w:val="24"/>
          <w:szCs w:val="24"/>
          <w:lang w:val="en-GB" w:eastAsia="en-GB"/>
        </w:rPr>
        <w:t xml:space="preserve"> strike out the annexures attached to AMCU’s supplementary affidavit and to</w:t>
      </w:r>
      <w:r w:rsidR="008B6695">
        <w:rPr>
          <w:rFonts w:ascii="Arial" w:eastAsia="Times New Roman" w:hAnsi="Arial" w:cs="Arial"/>
          <w:sz w:val="24"/>
          <w:szCs w:val="24"/>
          <w:lang w:val="en-GB" w:eastAsia="en-GB"/>
        </w:rPr>
        <w:t xml:space="preserve"> have the rule m</w:t>
      </w:r>
      <w:r w:rsidR="00C42AAB">
        <w:rPr>
          <w:rFonts w:ascii="Arial" w:eastAsia="Times New Roman" w:hAnsi="Arial" w:cs="Arial"/>
          <w:sz w:val="24"/>
          <w:szCs w:val="24"/>
          <w:lang w:val="en-GB" w:eastAsia="en-GB"/>
        </w:rPr>
        <w:t>ade final. AMCU seeks to have the rule</w:t>
      </w:r>
      <w:r w:rsidR="008B6695">
        <w:rPr>
          <w:rFonts w:ascii="Arial" w:eastAsia="Times New Roman" w:hAnsi="Arial" w:cs="Arial"/>
          <w:sz w:val="24"/>
          <w:szCs w:val="24"/>
          <w:lang w:val="en-GB" w:eastAsia="en-GB"/>
        </w:rPr>
        <w:t xml:space="preserve"> discharged. </w:t>
      </w:r>
      <w:r w:rsidR="003D44B3">
        <w:rPr>
          <w:rFonts w:ascii="Arial" w:eastAsia="Times New Roman" w:hAnsi="Arial" w:cs="Arial"/>
          <w:sz w:val="24"/>
          <w:szCs w:val="24"/>
          <w:lang w:val="en-GB" w:eastAsia="en-GB"/>
        </w:rPr>
        <w:t>For convenience, I shall refer to this as ‘the main application’.</w:t>
      </w:r>
    </w:p>
    <w:p w:rsidR="008D2E7A" w:rsidRDefault="00EA3217" w:rsidP="00F47A1E">
      <w:pPr>
        <w:keepNext/>
        <w:spacing w:before="240" w:after="120" w:line="360" w:lineRule="auto"/>
        <w:ind w:left="720" w:hanging="720"/>
        <w:jc w:val="both"/>
        <w:outlineLvl w:val="0"/>
        <w:rPr>
          <w:rFonts w:ascii="Arial" w:eastAsia="Times New Roman" w:hAnsi="Arial" w:cs="Arial"/>
          <w:sz w:val="24"/>
          <w:szCs w:val="24"/>
          <w:lang w:val="en-GB" w:eastAsia="en-GB"/>
        </w:rPr>
      </w:pPr>
      <w:r>
        <w:rPr>
          <w:rFonts w:ascii="Arial" w:eastAsia="Times New Roman" w:hAnsi="Arial" w:cs="Arial"/>
          <w:sz w:val="24"/>
          <w:szCs w:val="24"/>
          <w:lang w:val="en-GB" w:eastAsia="en-GB"/>
        </w:rPr>
        <w:t>[2]</w:t>
      </w:r>
      <w:r>
        <w:rPr>
          <w:rFonts w:ascii="Arial" w:eastAsia="Times New Roman" w:hAnsi="Arial" w:cs="Arial"/>
          <w:sz w:val="24"/>
          <w:szCs w:val="24"/>
          <w:lang w:val="en-GB" w:eastAsia="en-GB"/>
        </w:rPr>
        <w:tab/>
      </w:r>
      <w:r w:rsidR="004C4008">
        <w:rPr>
          <w:rFonts w:ascii="Arial" w:eastAsia="Times New Roman" w:hAnsi="Arial" w:cs="Arial"/>
          <w:sz w:val="24"/>
          <w:szCs w:val="24"/>
          <w:lang w:val="en-GB" w:eastAsia="en-GB"/>
        </w:rPr>
        <w:t xml:space="preserve">AMCU has filed </w:t>
      </w:r>
      <w:r w:rsidR="00D45B8F">
        <w:rPr>
          <w:rFonts w:ascii="Arial" w:eastAsia="Times New Roman" w:hAnsi="Arial" w:cs="Arial"/>
          <w:sz w:val="24"/>
          <w:szCs w:val="24"/>
          <w:lang w:val="en-GB" w:eastAsia="en-GB"/>
        </w:rPr>
        <w:t>a counter-</w:t>
      </w:r>
      <w:r w:rsidR="001D6384">
        <w:rPr>
          <w:rFonts w:ascii="Arial" w:eastAsia="Times New Roman" w:hAnsi="Arial" w:cs="Arial"/>
          <w:sz w:val="24"/>
          <w:szCs w:val="24"/>
          <w:lang w:val="en-GB" w:eastAsia="en-GB"/>
        </w:rPr>
        <w:t>application</w:t>
      </w:r>
      <w:r w:rsidR="004C4008">
        <w:rPr>
          <w:rFonts w:ascii="Arial" w:eastAsia="Times New Roman" w:hAnsi="Arial" w:cs="Arial"/>
          <w:sz w:val="24"/>
          <w:szCs w:val="24"/>
          <w:lang w:val="en-GB" w:eastAsia="en-GB"/>
        </w:rPr>
        <w:t xml:space="preserve">. </w:t>
      </w:r>
      <w:r w:rsidR="00BE098D">
        <w:rPr>
          <w:rFonts w:ascii="Arial" w:eastAsia="Times New Roman" w:hAnsi="Arial" w:cs="Arial"/>
          <w:sz w:val="24"/>
          <w:szCs w:val="24"/>
          <w:lang w:val="en-GB" w:eastAsia="en-GB"/>
        </w:rPr>
        <w:t xml:space="preserve">In that application, </w:t>
      </w:r>
      <w:r w:rsidR="001D6384">
        <w:rPr>
          <w:rFonts w:ascii="Arial" w:eastAsia="Times New Roman" w:hAnsi="Arial" w:cs="Arial"/>
          <w:sz w:val="24"/>
          <w:szCs w:val="24"/>
          <w:lang w:val="en-GB" w:eastAsia="en-GB"/>
        </w:rPr>
        <w:t>the constitutionality of s 23</w:t>
      </w:r>
      <w:r w:rsidR="00CE07C6">
        <w:rPr>
          <w:rFonts w:ascii="Arial" w:eastAsia="Times New Roman" w:hAnsi="Arial" w:cs="Arial"/>
          <w:sz w:val="24"/>
          <w:szCs w:val="24"/>
          <w:lang w:val="en-GB" w:eastAsia="en-GB"/>
        </w:rPr>
        <w:t xml:space="preserve"> </w:t>
      </w:r>
      <w:r w:rsidR="001D6384">
        <w:rPr>
          <w:rFonts w:ascii="Arial" w:eastAsia="Times New Roman" w:hAnsi="Arial" w:cs="Arial"/>
          <w:sz w:val="24"/>
          <w:szCs w:val="24"/>
          <w:lang w:val="en-GB" w:eastAsia="en-GB"/>
        </w:rPr>
        <w:t>(1</w:t>
      </w:r>
      <w:r w:rsidR="003D44B3">
        <w:rPr>
          <w:rFonts w:ascii="Arial" w:eastAsia="Times New Roman" w:hAnsi="Arial" w:cs="Arial"/>
          <w:sz w:val="24"/>
          <w:szCs w:val="24"/>
          <w:lang w:val="en-GB" w:eastAsia="en-GB"/>
        </w:rPr>
        <w:t>) (</w:t>
      </w:r>
      <w:r w:rsidR="001D6384">
        <w:rPr>
          <w:rFonts w:ascii="Arial" w:eastAsia="Times New Roman" w:hAnsi="Arial" w:cs="Arial"/>
          <w:sz w:val="24"/>
          <w:szCs w:val="24"/>
          <w:lang w:val="en-GB" w:eastAsia="en-GB"/>
        </w:rPr>
        <w:t>d) of the Labour Relations Act (LRA)</w:t>
      </w:r>
      <w:r w:rsidR="00BE098D">
        <w:rPr>
          <w:rFonts w:ascii="Arial" w:eastAsia="Times New Roman" w:hAnsi="Arial" w:cs="Arial"/>
          <w:sz w:val="24"/>
          <w:szCs w:val="24"/>
          <w:lang w:val="en-GB" w:eastAsia="en-GB"/>
        </w:rPr>
        <w:t xml:space="preserve"> is challenged. </w:t>
      </w:r>
      <w:r w:rsidR="004C4008">
        <w:rPr>
          <w:rFonts w:ascii="Arial" w:eastAsia="Times New Roman" w:hAnsi="Arial" w:cs="Arial"/>
          <w:sz w:val="24"/>
          <w:szCs w:val="24"/>
          <w:lang w:val="en-GB" w:eastAsia="en-GB"/>
        </w:rPr>
        <w:t>That subsection permits the parties to a collective agreement to extend the</w:t>
      </w:r>
      <w:r w:rsidR="009D30DD">
        <w:rPr>
          <w:rFonts w:ascii="Arial" w:eastAsia="Times New Roman" w:hAnsi="Arial" w:cs="Arial"/>
          <w:sz w:val="24"/>
          <w:szCs w:val="24"/>
          <w:lang w:val="en-GB" w:eastAsia="en-GB"/>
        </w:rPr>
        <w:t>ir</w:t>
      </w:r>
      <w:r w:rsidR="004C4008">
        <w:rPr>
          <w:rFonts w:ascii="Arial" w:eastAsia="Times New Roman" w:hAnsi="Arial" w:cs="Arial"/>
          <w:sz w:val="24"/>
          <w:szCs w:val="24"/>
          <w:lang w:val="en-GB" w:eastAsia="en-GB"/>
        </w:rPr>
        <w:t xml:space="preserve"> agreement to </w:t>
      </w:r>
      <w:r w:rsidR="004C4008">
        <w:rPr>
          <w:rFonts w:ascii="Arial" w:eastAsia="Times New Roman" w:hAnsi="Arial" w:cs="Arial"/>
          <w:sz w:val="24"/>
          <w:szCs w:val="24"/>
          <w:lang w:val="en-GB" w:eastAsia="en-GB"/>
        </w:rPr>
        <w:lastRenderedPageBreak/>
        <w:t xml:space="preserve">employees who are not parties to the agreement (either because their union is not a party to the agreement or because they are not members of any union), provided that the </w:t>
      </w:r>
      <w:r w:rsidR="009D30DD">
        <w:rPr>
          <w:rFonts w:ascii="Arial" w:eastAsia="Times New Roman" w:hAnsi="Arial" w:cs="Arial"/>
          <w:sz w:val="24"/>
          <w:szCs w:val="24"/>
          <w:lang w:val="en-GB" w:eastAsia="en-GB"/>
        </w:rPr>
        <w:t xml:space="preserve">members of the </w:t>
      </w:r>
      <w:r w:rsidR="004C4008">
        <w:rPr>
          <w:rFonts w:ascii="Arial" w:eastAsia="Times New Roman" w:hAnsi="Arial" w:cs="Arial"/>
          <w:sz w:val="24"/>
          <w:szCs w:val="24"/>
          <w:lang w:val="en-GB" w:eastAsia="en-GB"/>
        </w:rPr>
        <w:t>union party or parties to the agreeme</w:t>
      </w:r>
      <w:r w:rsidR="009D30DD">
        <w:rPr>
          <w:rFonts w:ascii="Arial" w:eastAsia="Times New Roman" w:hAnsi="Arial" w:cs="Arial"/>
          <w:sz w:val="24"/>
          <w:szCs w:val="24"/>
          <w:lang w:val="en-GB" w:eastAsia="en-GB"/>
        </w:rPr>
        <w:t>nt comprise</w:t>
      </w:r>
      <w:r w:rsidR="004C4008">
        <w:rPr>
          <w:rFonts w:ascii="Arial" w:eastAsia="Times New Roman" w:hAnsi="Arial" w:cs="Arial"/>
          <w:sz w:val="24"/>
          <w:szCs w:val="24"/>
          <w:lang w:val="en-GB" w:eastAsia="en-GB"/>
        </w:rPr>
        <w:t xml:space="preserve"> a majority of employees in the workplace. </w:t>
      </w:r>
      <w:r w:rsidR="00BE098D">
        <w:rPr>
          <w:rFonts w:ascii="Arial" w:eastAsia="Times New Roman" w:hAnsi="Arial" w:cs="Arial"/>
          <w:sz w:val="24"/>
          <w:szCs w:val="24"/>
          <w:lang w:val="en-GB" w:eastAsia="en-GB"/>
        </w:rPr>
        <w:t>The</w:t>
      </w:r>
      <w:r w:rsidR="001D6384">
        <w:rPr>
          <w:rFonts w:ascii="Arial" w:eastAsia="Times New Roman" w:hAnsi="Arial" w:cs="Arial"/>
          <w:sz w:val="24"/>
          <w:szCs w:val="24"/>
          <w:lang w:val="en-GB" w:eastAsia="en-GB"/>
        </w:rPr>
        <w:t xml:space="preserve"> </w:t>
      </w:r>
      <w:r w:rsidR="004C4008">
        <w:rPr>
          <w:rFonts w:ascii="Arial" w:eastAsia="Times New Roman" w:hAnsi="Arial" w:cs="Arial"/>
          <w:sz w:val="24"/>
          <w:szCs w:val="24"/>
          <w:lang w:val="en-GB" w:eastAsia="en-GB"/>
        </w:rPr>
        <w:t>counter-</w:t>
      </w:r>
      <w:r w:rsidR="001D6384">
        <w:rPr>
          <w:rFonts w:ascii="Arial" w:eastAsia="Times New Roman" w:hAnsi="Arial" w:cs="Arial"/>
          <w:sz w:val="24"/>
          <w:szCs w:val="24"/>
          <w:lang w:val="en-GB" w:eastAsia="en-GB"/>
        </w:rPr>
        <w:t>application is opposed by the Chamber, the second respondent (NUM)</w:t>
      </w:r>
      <w:r w:rsidR="00A54FBE">
        <w:rPr>
          <w:rFonts w:ascii="Arial" w:eastAsia="Times New Roman" w:hAnsi="Arial" w:cs="Arial"/>
          <w:sz w:val="24"/>
          <w:szCs w:val="24"/>
          <w:lang w:val="en-GB" w:eastAsia="en-GB"/>
        </w:rPr>
        <w:t>,</w:t>
      </w:r>
      <w:r w:rsidR="001D6384">
        <w:rPr>
          <w:rFonts w:ascii="Arial" w:eastAsia="Times New Roman" w:hAnsi="Arial" w:cs="Arial"/>
          <w:sz w:val="24"/>
          <w:szCs w:val="24"/>
          <w:lang w:val="en-GB" w:eastAsia="en-GB"/>
        </w:rPr>
        <w:t xml:space="preserve"> the third respondent (Solidarity), the fourth respondent (UASA)</w:t>
      </w:r>
      <w:r w:rsidR="002052AA">
        <w:rPr>
          <w:rStyle w:val="FootnoteReference"/>
          <w:rFonts w:ascii="Arial" w:eastAsia="Times New Roman" w:hAnsi="Arial" w:cs="Arial"/>
          <w:sz w:val="24"/>
          <w:szCs w:val="24"/>
          <w:lang w:val="en-GB" w:eastAsia="en-GB"/>
        </w:rPr>
        <w:footnoteReference w:id="2"/>
      </w:r>
      <w:r w:rsidR="001D6384">
        <w:rPr>
          <w:rFonts w:ascii="Arial" w:eastAsia="Times New Roman" w:hAnsi="Arial" w:cs="Arial"/>
          <w:sz w:val="24"/>
          <w:szCs w:val="24"/>
          <w:lang w:val="en-GB" w:eastAsia="en-GB"/>
        </w:rPr>
        <w:t xml:space="preserve"> and the</w:t>
      </w:r>
      <w:r w:rsidR="008D2E7A">
        <w:rPr>
          <w:rFonts w:ascii="Arial" w:eastAsia="Times New Roman" w:hAnsi="Arial" w:cs="Arial"/>
          <w:sz w:val="24"/>
          <w:szCs w:val="24"/>
          <w:lang w:val="en-GB" w:eastAsia="en-GB"/>
        </w:rPr>
        <w:t xml:space="preserve"> fifth respondent, the</w:t>
      </w:r>
      <w:r w:rsidR="001D6384">
        <w:rPr>
          <w:rFonts w:ascii="Arial" w:eastAsia="Times New Roman" w:hAnsi="Arial" w:cs="Arial"/>
          <w:sz w:val="24"/>
          <w:szCs w:val="24"/>
          <w:lang w:val="en-GB" w:eastAsia="en-GB"/>
        </w:rPr>
        <w:t xml:space="preserve"> Minister of Labour.</w:t>
      </w:r>
    </w:p>
    <w:p w:rsidR="000A0847" w:rsidRDefault="000A0847" w:rsidP="00A826E5">
      <w:pPr>
        <w:spacing w:line="360" w:lineRule="auto"/>
        <w:ind w:left="720" w:hanging="720"/>
        <w:jc w:val="both"/>
        <w:rPr>
          <w:rFonts w:ascii="Arial" w:eastAsia="Times New Roman" w:hAnsi="Arial" w:cs="Arial"/>
          <w:sz w:val="24"/>
          <w:szCs w:val="24"/>
          <w:u w:val="single"/>
          <w:lang w:val="en-GB" w:eastAsia="en-GB"/>
        </w:rPr>
      </w:pPr>
      <w:r>
        <w:rPr>
          <w:rFonts w:ascii="Arial" w:eastAsia="Times New Roman" w:hAnsi="Arial" w:cs="Arial"/>
          <w:sz w:val="24"/>
          <w:szCs w:val="24"/>
          <w:u w:val="single"/>
          <w:lang w:val="en-GB" w:eastAsia="en-GB"/>
        </w:rPr>
        <w:t>The material facts</w:t>
      </w:r>
    </w:p>
    <w:p w:rsidR="008D2E7A" w:rsidRDefault="00CE07C6" w:rsidP="00A826E5">
      <w:pPr>
        <w:spacing w:line="360" w:lineRule="auto"/>
        <w:ind w:left="720" w:hanging="720"/>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[3</w:t>
      </w:r>
      <w:r w:rsidR="000A0847" w:rsidRPr="000A0847">
        <w:rPr>
          <w:rFonts w:ascii="Arial" w:eastAsia="Times New Roman" w:hAnsi="Arial" w:cs="Arial"/>
          <w:sz w:val="24"/>
          <w:szCs w:val="24"/>
          <w:lang w:val="en-GB" w:eastAsia="en-GB"/>
        </w:rPr>
        <w:t>]</w:t>
      </w:r>
      <w:r w:rsidR="000A0847" w:rsidRPr="000A0847">
        <w:rPr>
          <w:rFonts w:ascii="Arial" w:eastAsia="Times New Roman" w:hAnsi="Arial" w:cs="Arial"/>
          <w:sz w:val="24"/>
          <w:szCs w:val="24"/>
          <w:lang w:val="en-GB" w:eastAsia="en-GB"/>
        </w:rPr>
        <w:tab/>
      </w:r>
      <w:r w:rsidR="0003674D">
        <w:rPr>
          <w:rFonts w:ascii="Arial" w:eastAsia="Times New Roman" w:hAnsi="Arial" w:cs="Arial"/>
          <w:sz w:val="24"/>
          <w:szCs w:val="24"/>
          <w:lang w:val="en-GB" w:eastAsia="en-GB"/>
        </w:rPr>
        <w:t>The facts</w:t>
      </w:r>
      <w:r w:rsidR="000A0847">
        <w:rPr>
          <w:rFonts w:ascii="Arial" w:eastAsia="Times New Roman" w:hAnsi="Arial" w:cs="Arial"/>
          <w:sz w:val="24"/>
          <w:szCs w:val="24"/>
          <w:lang w:val="en-GB" w:eastAsia="en-GB"/>
        </w:rPr>
        <w:t xml:space="preserve"> </w:t>
      </w:r>
      <w:r w:rsidR="00BE098D">
        <w:rPr>
          <w:rFonts w:ascii="Arial" w:eastAsia="Times New Roman" w:hAnsi="Arial" w:cs="Arial"/>
          <w:sz w:val="24"/>
          <w:szCs w:val="24"/>
          <w:lang w:val="en-GB" w:eastAsia="en-GB"/>
        </w:rPr>
        <w:t xml:space="preserve">are not in dispute. </w:t>
      </w:r>
      <w:r w:rsidR="00A826E5">
        <w:rPr>
          <w:rFonts w:ascii="Arial" w:eastAsia="Times New Roman" w:hAnsi="Arial" w:cs="Arial"/>
          <w:sz w:val="24"/>
          <w:szCs w:val="24"/>
          <w:lang w:val="en-GB" w:eastAsia="en-GB"/>
        </w:rPr>
        <w:t>T</w:t>
      </w:r>
      <w:r w:rsidR="000A0847">
        <w:rPr>
          <w:rFonts w:ascii="Arial" w:eastAsia="Times New Roman" w:hAnsi="Arial" w:cs="Arial"/>
          <w:sz w:val="24"/>
          <w:szCs w:val="24"/>
          <w:lang w:val="en-GB" w:eastAsia="en-GB"/>
        </w:rPr>
        <w:t>he Chamber</w:t>
      </w:r>
      <w:r w:rsidR="00A826E5">
        <w:rPr>
          <w:rFonts w:ascii="Arial" w:eastAsia="Times New Roman" w:hAnsi="Arial" w:cs="Arial"/>
          <w:sz w:val="24"/>
          <w:szCs w:val="24"/>
          <w:lang w:val="en-GB" w:eastAsia="en-GB"/>
        </w:rPr>
        <w:t xml:space="preserve"> is </w:t>
      </w:r>
      <w:r w:rsidR="00BE098D">
        <w:rPr>
          <w:rFonts w:ascii="Arial" w:eastAsia="Times New Roman" w:hAnsi="Arial" w:cs="Arial"/>
          <w:sz w:val="24"/>
          <w:szCs w:val="24"/>
          <w:lang w:val="en-GB" w:eastAsia="en-GB"/>
        </w:rPr>
        <w:t>a reg</w:t>
      </w:r>
      <w:r w:rsidR="004C4008">
        <w:rPr>
          <w:rFonts w:ascii="Arial" w:eastAsia="Times New Roman" w:hAnsi="Arial" w:cs="Arial"/>
          <w:sz w:val="24"/>
          <w:szCs w:val="24"/>
          <w:lang w:val="en-GB" w:eastAsia="en-GB"/>
        </w:rPr>
        <w:t>istered employers’ organisation</w:t>
      </w:r>
      <w:r w:rsidR="000A0847">
        <w:rPr>
          <w:rFonts w:ascii="Arial" w:eastAsia="Times New Roman" w:hAnsi="Arial" w:cs="Arial"/>
          <w:sz w:val="24"/>
          <w:szCs w:val="24"/>
          <w:lang w:val="en-GB" w:eastAsia="en-GB"/>
        </w:rPr>
        <w:t xml:space="preserve"> </w:t>
      </w:r>
      <w:r w:rsidR="00A826E5">
        <w:rPr>
          <w:rFonts w:ascii="Arial" w:eastAsia="Times New Roman" w:hAnsi="Arial" w:cs="Arial"/>
          <w:sz w:val="24"/>
          <w:szCs w:val="24"/>
          <w:lang w:val="en-GB" w:eastAsia="en-GB"/>
        </w:rPr>
        <w:t xml:space="preserve">and </w:t>
      </w:r>
      <w:r w:rsidR="000A0847">
        <w:rPr>
          <w:rFonts w:ascii="Arial" w:eastAsia="Times New Roman" w:hAnsi="Arial" w:cs="Arial"/>
          <w:sz w:val="24"/>
          <w:szCs w:val="24"/>
          <w:lang w:val="en-GB" w:eastAsia="en-GB"/>
        </w:rPr>
        <w:t>acts as the collective</w:t>
      </w:r>
      <w:r w:rsidR="00BE098D">
        <w:rPr>
          <w:rFonts w:ascii="Arial" w:eastAsia="Times New Roman" w:hAnsi="Arial" w:cs="Arial"/>
          <w:sz w:val="24"/>
          <w:szCs w:val="24"/>
          <w:lang w:val="en-GB" w:eastAsia="en-GB"/>
        </w:rPr>
        <w:t xml:space="preserve"> bargaining agent of its members. These</w:t>
      </w:r>
      <w:r w:rsidR="008D2E7A">
        <w:rPr>
          <w:rFonts w:ascii="Arial" w:eastAsia="Times New Roman" w:hAnsi="Arial" w:cs="Arial"/>
          <w:sz w:val="24"/>
          <w:szCs w:val="24"/>
          <w:lang w:val="en-GB" w:eastAsia="en-GB"/>
        </w:rPr>
        <w:t xml:space="preserve"> include the </w:t>
      </w:r>
      <w:r w:rsidR="009D30DD">
        <w:rPr>
          <w:rFonts w:ascii="Arial" w:eastAsia="Times New Roman" w:hAnsi="Arial" w:cs="Arial"/>
          <w:sz w:val="24"/>
          <w:szCs w:val="24"/>
          <w:lang w:val="en-GB" w:eastAsia="en-GB"/>
        </w:rPr>
        <w:t xml:space="preserve">gold mining </w:t>
      </w:r>
      <w:r w:rsidR="00A826E5">
        <w:rPr>
          <w:rFonts w:ascii="Arial" w:eastAsia="Times New Roman" w:hAnsi="Arial" w:cs="Arial"/>
          <w:sz w:val="24"/>
          <w:szCs w:val="24"/>
          <w:lang w:val="en-GB" w:eastAsia="en-GB"/>
        </w:rPr>
        <w:t>companies</w:t>
      </w:r>
      <w:r w:rsidR="00BE098D">
        <w:rPr>
          <w:rFonts w:ascii="Arial" w:eastAsia="Times New Roman" w:hAnsi="Arial" w:cs="Arial"/>
          <w:sz w:val="24"/>
          <w:szCs w:val="24"/>
          <w:lang w:val="en-GB" w:eastAsia="en-GB"/>
        </w:rPr>
        <w:t xml:space="preserve"> on whose behalf the Chamber</w:t>
      </w:r>
      <w:r w:rsidR="008D2E7A">
        <w:rPr>
          <w:rFonts w:ascii="Arial" w:eastAsia="Times New Roman" w:hAnsi="Arial" w:cs="Arial"/>
          <w:sz w:val="24"/>
          <w:szCs w:val="24"/>
          <w:lang w:val="en-GB" w:eastAsia="en-GB"/>
        </w:rPr>
        <w:t xml:space="preserve"> </w:t>
      </w:r>
      <w:r w:rsidR="00BE098D">
        <w:rPr>
          <w:rFonts w:ascii="Arial" w:eastAsia="Times New Roman" w:hAnsi="Arial" w:cs="Arial"/>
          <w:sz w:val="24"/>
          <w:szCs w:val="24"/>
          <w:lang w:val="en-GB" w:eastAsia="en-GB"/>
        </w:rPr>
        <w:t>acts in the present procee</w:t>
      </w:r>
      <w:r w:rsidR="00A826E5">
        <w:rPr>
          <w:rFonts w:ascii="Arial" w:eastAsia="Times New Roman" w:hAnsi="Arial" w:cs="Arial"/>
          <w:sz w:val="24"/>
          <w:szCs w:val="24"/>
          <w:lang w:val="en-GB" w:eastAsia="en-GB"/>
        </w:rPr>
        <w:t>dings</w:t>
      </w:r>
      <w:r w:rsidR="009D30DD">
        <w:rPr>
          <w:rFonts w:ascii="Arial" w:eastAsia="Times New Roman" w:hAnsi="Arial" w:cs="Arial"/>
          <w:sz w:val="24"/>
          <w:szCs w:val="24"/>
          <w:lang w:val="en-GB" w:eastAsia="en-GB"/>
        </w:rPr>
        <w:t>,</w:t>
      </w:r>
      <w:r w:rsidR="0003674D">
        <w:rPr>
          <w:rFonts w:ascii="Arial" w:eastAsia="Times New Roman" w:hAnsi="Arial" w:cs="Arial"/>
          <w:sz w:val="24"/>
          <w:szCs w:val="24"/>
          <w:lang w:val="en-GB" w:eastAsia="en-GB"/>
        </w:rPr>
        <w:t xml:space="preserve"> i.e.</w:t>
      </w:r>
      <w:r w:rsidR="009D30DD">
        <w:rPr>
          <w:rFonts w:ascii="Arial" w:eastAsia="Times New Roman" w:hAnsi="Arial" w:cs="Arial"/>
          <w:sz w:val="24"/>
          <w:szCs w:val="24"/>
          <w:lang w:val="en-GB" w:eastAsia="en-GB"/>
        </w:rPr>
        <w:t xml:space="preserve"> Harmony, AngloGold Ashanti and Sibanye</w:t>
      </w:r>
      <w:r w:rsidR="00A826E5">
        <w:rPr>
          <w:rFonts w:ascii="Arial" w:eastAsia="Times New Roman" w:hAnsi="Arial" w:cs="Arial"/>
          <w:sz w:val="24"/>
          <w:szCs w:val="24"/>
          <w:lang w:val="en-GB" w:eastAsia="en-GB"/>
        </w:rPr>
        <w:t xml:space="preserve">. Collective bargaining, at least in respect of wages and other substantive conditions of employment, </w:t>
      </w:r>
      <w:r w:rsidR="00BE098D">
        <w:rPr>
          <w:rFonts w:ascii="Arial" w:eastAsia="Times New Roman" w:hAnsi="Arial" w:cs="Arial"/>
          <w:sz w:val="24"/>
          <w:szCs w:val="24"/>
          <w:lang w:val="en-GB" w:eastAsia="en-GB"/>
        </w:rPr>
        <w:t>is conducted</w:t>
      </w:r>
      <w:r w:rsidR="00A826E5">
        <w:rPr>
          <w:rFonts w:ascii="Arial" w:eastAsia="Times New Roman" w:hAnsi="Arial" w:cs="Arial"/>
          <w:sz w:val="24"/>
          <w:szCs w:val="24"/>
          <w:lang w:val="en-GB" w:eastAsia="en-GB"/>
        </w:rPr>
        <w:t xml:space="preserve"> on a centralised basis,</w:t>
      </w:r>
      <w:r w:rsidR="000A0847">
        <w:rPr>
          <w:rFonts w:ascii="Arial" w:eastAsia="Times New Roman" w:hAnsi="Arial" w:cs="Arial"/>
          <w:sz w:val="24"/>
          <w:szCs w:val="24"/>
          <w:lang w:val="en-GB" w:eastAsia="en-GB"/>
        </w:rPr>
        <w:t xml:space="preserve"> in a non-st</w:t>
      </w:r>
      <w:r w:rsidR="00C01C71">
        <w:rPr>
          <w:rFonts w:ascii="Arial" w:eastAsia="Times New Roman" w:hAnsi="Arial" w:cs="Arial"/>
          <w:sz w:val="24"/>
          <w:szCs w:val="24"/>
          <w:lang w:val="en-GB" w:eastAsia="en-GB"/>
        </w:rPr>
        <w:t>at</w:t>
      </w:r>
      <w:r w:rsidR="000A0847">
        <w:rPr>
          <w:rFonts w:ascii="Arial" w:eastAsia="Times New Roman" w:hAnsi="Arial" w:cs="Arial"/>
          <w:sz w:val="24"/>
          <w:szCs w:val="24"/>
          <w:lang w:val="en-GB" w:eastAsia="en-GB"/>
        </w:rPr>
        <w:t>utory bargai</w:t>
      </w:r>
      <w:r w:rsidR="00C01C71">
        <w:rPr>
          <w:rFonts w:ascii="Arial" w:eastAsia="Times New Roman" w:hAnsi="Arial" w:cs="Arial"/>
          <w:sz w:val="24"/>
          <w:szCs w:val="24"/>
          <w:lang w:val="en-GB" w:eastAsia="en-GB"/>
        </w:rPr>
        <w:t>ni</w:t>
      </w:r>
      <w:r w:rsidR="00B2236C">
        <w:rPr>
          <w:rFonts w:ascii="Arial" w:eastAsia="Times New Roman" w:hAnsi="Arial" w:cs="Arial"/>
          <w:sz w:val="24"/>
          <w:szCs w:val="24"/>
          <w:lang w:val="en-GB" w:eastAsia="en-GB"/>
        </w:rPr>
        <w:t xml:space="preserve">ng forum. </w:t>
      </w:r>
      <w:r w:rsidR="002052AA">
        <w:rPr>
          <w:rFonts w:ascii="Arial" w:eastAsia="Times New Roman" w:hAnsi="Arial" w:cs="Arial"/>
          <w:sz w:val="24"/>
          <w:szCs w:val="24"/>
          <w:lang w:val="en-GB" w:eastAsia="en-GB"/>
        </w:rPr>
        <w:t>S</w:t>
      </w:r>
      <w:r w:rsidR="00081B21">
        <w:rPr>
          <w:rFonts w:ascii="Arial" w:eastAsia="Times New Roman" w:hAnsi="Arial" w:cs="Arial"/>
          <w:sz w:val="24"/>
          <w:szCs w:val="24"/>
          <w:lang w:val="en-GB" w:eastAsia="en-GB"/>
        </w:rPr>
        <w:t xml:space="preserve">ince 2001, </w:t>
      </w:r>
      <w:r w:rsidR="008D2E7A">
        <w:rPr>
          <w:rFonts w:ascii="Arial" w:eastAsia="Times New Roman" w:hAnsi="Arial" w:cs="Arial"/>
          <w:sz w:val="24"/>
          <w:szCs w:val="24"/>
          <w:lang w:val="en-GB" w:eastAsia="en-GB"/>
        </w:rPr>
        <w:t xml:space="preserve">collective agreements concluded </w:t>
      </w:r>
      <w:r w:rsidR="00081B21">
        <w:rPr>
          <w:rFonts w:ascii="Arial" w:eastAsia="Times New Roman" w:hAnsi="Arial" w:cs="Arial"/>
          <w:sz w:val="24"/>
          <w:szCs w:val="24"/>
          <w:lang w:val="en-GB" w:eastAsia="en-GB"/>
        </w:rPr>
        <w:t>in this manner have been applied</w:t>
      </w:r>
      <w:r w:rsidR="00A826E5">
        <w:rPr>
          <w:rFonts w:ascii="Arial" w:eastAsia="Times New Roman" w:hAnsi="Arial" w:cs="Arial"/>
          <w:sz w:val="24"/>
          <w:szCs w:val="24"/>
          <w:lang w:val="en-GB" w:eastAsia="en-GB"/>
        </w:rPr>
        <w:t xml:space="preserve"> by the Chamber’s members, party to the agreement,</w:t>
      </w:r>
      <w:r w:rsidR="008D2E7A">
        <w:rPr>
          <w:rFonts w:ascii="Arial" w:eastAsia="Times New Roman" w:hAnsi="Arial" w:cs="Arial"/>
          <w:sz w:val="24"/>
          <w:szCs w:val="24"/>
          <w:lang w:val="en-GB" w:eastAsia="en-GB"/>
        </w:rPr>
        <w:t xml:space="preserve"> to</w:t>
      </w:r>
      <w:r w:rsidR="00A826E5">
        <w:rPr>
          <w:rFonts w:ascii="Arial" w:eastAsia="Times New Roman" w:hAnsi="Arial" w:cs="Arial"/>
          <w:sz w:val="24"/>
          <w:szCs w:val="24"/>
          <w:lang w:val="en-GB" w:eastAsia="en-GB"/>
        </w:rPr>
        <w:t xml:space="preserve"> those employees</w:t>
      </w:r>
      <w:r w:rsidR="008D2E7A">
        <w:rPr>
          <w:rFonts w:ascii="Arial" w:eastAsia="Times New Roman" w:hAnsi="Arial" w:cs="Arial"/>
          <w:sz w:val="24"/>
          <w:szCs w:val="24"/>
          <w:lang w:val="en-GB" w:eastAsia="en-GB"/>
        </w:rPr>
        <w:t xml:space="preserve"> who are not members of the party unions</w:t>
      </w:r>
      <w:r w:rsidR="00A826E5">
        <w:rPr>
          <w:rFonts w:ascii="Arial" w:eastAsia="Times New Roman" w:hAnsi="Arial" w:cs="Arial"/>
          <w:sz w:val="24"/>
          <w:szCs w:val="24"/>
          <w:lang w:val="en-GB" w:eastAsia="en-GB"/>
        </w:rPr>
        <w:t xml:space="preserve">, and also to non-union </w:t>
      </w:r>
      <w:r w:rsidR="002052AA">
        <w:rPr>
          <w:rFonts w:ascii="Arial" w:eastAsia="Times New Roman" w:hAnsi="Arial" w:cs="Arial"/>
          <w:sz w:val="24"/>
          <w:szCs w:val="24"/>
          <w:lang w:val="en-GB" w:eastAsia="en-GB"/>
        </w:rPr>
        <w:t>members.</w:t>
      </w:r>
    </w:p>
    <w:p w:rsidR="004870B0" w:rsidRDefault="00CE07C6" w:rsidP="00A826E5">
      <w:pPr>
        <w:spacing w:line="360" w:lineRule="auto"/>
        <w:ind w:left="720" w:hanging="720"/>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[4</w:t>
      </w:r>
      <w:r w:rsidR="003477ED">
        <w:rPr>
          <w:rFonts w:ascii="Arial" w:eastAsia="Times New Roman" w:hAnsi="Arial" w:cs="Arial"/>
          <w:sz w:val="24"/>
          <w:szCs w:val="24"/>
          <w:lang w:val="en-GB" w:eastAsia="en-GB"/>
        </w:rPr>
        <w:t>]</w:t>
      </w:r>
      <w:r w:rsidR="003477ED">
        <w:rPr>
          <w:rFonts w:ascii="Arial" w:eastAsia="Times New Roman" w:hAnsi="Arial" w:cs="Arial"/>
          <w:sz w:val="24"/>
          <w:szCs w:val="24"/>
          <w:lang w:val="en-GB" w:eastAsia="en-GB"/>
        </w:rPr>
        <w:tab/>
      </w:r>
      <w:r w:rsidR="008D2E7A">
        <w:rPr>
          <w:rFonts w:ascii="Arial" w:eastAsia="Times New Roman" w:hAnsi="Arial" w:cs="Arial"/>
          <w:sz w:val="24"/>
          <w:szCs w:val="24"/>
          <w:lang w:val="en-GB" w:eastAsia="en-GB"/>
        </w:rPr>
        <w:t>During the latter half of 2013, the Chamber con</w:t>
      </w:r>
      <w:r w:rsidR="004870B0">
        <w:rPr>
          <w:rFonts w:ascii="Arial" w:eastAsia="Times New Roman" w:hAnsi="Arial" w:cs="Arial"/>
          <w:sz w:val="24"/>
          <w:szCs w:val="24"/>
          <w:lang w:val="en-GB" w:eastAsia="en-GB"/>
        </w:rPr>
        <w:t xml:space="preserve">ducted negotiations with all </w:t>
      </w:r>
      <w:r w:rsidR="008D2E7A">
        <w:rPr>
          <w:rFonts w:ascii="Arial" w:eastAsia="Times New Roman" w:hAnsi="Arial" w:cs="Arial"/>
          <w:sz w:val="24"/>
          <w:szCs w:val="24"/>
          <w:lang w:val="en-GB" w:eastAsia="en-GB"/>
        </w:rPr>
        <w:t>the unions that are party to these proceedings. On</w:t>
      </w:r>
      <w:r w:rsidR="003477ED">
        <w:rPr>
          <w:rFonts w:ascii="Arial" w:eastAsia="Times New Roman" w:hAnsi="Arial" w:cs="Arial"/>
          <w:sz w:val="24"/>
          <w:szCs w:val="24"/>
          <w:lang w:val="en-GB" w:eastAsia="en-GB"/>
        </w:rPr>
        <w:t xml:space="preserve"> 24 July 2013, NUM, Solidarity and UASA declared a dispute with the Chamber a</w:t>
      </w:r>
      <w:r w:rsidR="008D2E7A">
        <w:rPr>
          <w:rFonts w:ascii="Arial" w:eastAsia="Times New Roman" w:hAnsi="Arial" w:cs="Arial"/>
          <w:sz w:val="24"/>
          <w:szCs w:val="24"/>
          <w:lang w:val="en-GB" w:eastAsia="en-GB"/>
        </w:rPr>
        <w:t>nd referred the dispute</w:t>
      </w:r>
      <w:r w:rsidR="003477ED">
        <w:rPr>
          <w:rFonts w:ascii="Arial" w:eastAsia="Times New Roman" w:hAnsi="Arial" w:cs="Arial"/>
          <w:sz w:val="24"/>
          <w:szCs w:val="24"/>
          <w:lang w:val="en-GB" w:eastAsia="en-GB"/>
        </w:rPr>
        <w:t xml:space="preserve"> to the CCMA. </w:t>
      </w:r>
      <w:r w:rsidR="005F5B3B">
        <w:rPr>
          <w:rFonts w:ascii="Arial" w:eastAsia="Times New Roman" w:hAnsi="Arial" w:cs="Arial"/>
          <w:sz w:val="24"/>
          <w:szCs w:val="24"/>
          <w:lang w:val="en-GB" w:eastAsia="en-GB"/>
        </w:rPr>
        <w:t>On</w:t>
      </w:r>
      <w:r w:rsidR="008D2E7A">
        <w:rPr>
          <w:rFonts w:ascii="Arial" w:eastAsia="Times New Roman" w:hAnsi="Arial" w:cs="Arial"/>
          <w:sz w:val="24"/>
          <w:szCs w:val="24"/>
          <w:lang w:val="en-GB" w:eastAsia="en-GB"/>
        </w:rPr>
        <w:t xml:space="preserve"> 29 July 2013</w:t>
      </w:r>
      <w:r w:rsidR="00081B21">
        <w:rPr>
          <w:rFonts w:ascii="Arial" w:eastAsia="Times New Roman" w:hAnsi="Arial" w:cs="Arial"/>
          <w:sz w:val="24"/>
          <w:szCs w:val="24"/>
          <w:lang w:val="en-GB" w:eastAsia="en-GB"/>
        </w:rPr>
        <w:t>, the C</w:t>
      </w:r>
      <w:r w:rsidR="005F5B3B">
        <w:rPr>
          <w:rFonts w:ascii="Arial" w:eastAsia="Times New Roman" w:hAnsi="Arial" w:cs="Arial"/>
          <w:sz w:val="24"/>
          <w:szCs w:val="24"/>
          <w:lang w:val="en-GB" w:eastAsia="en-GB"/>
        </w:rPr>
        <w:t xml:space="preserve">hamber declared a dispute against AMCU, the latter not having moved from the demands that it tabled on 24 June. During </w:t>
      </w:r>
      <w:r w:rsidR="002052AA">
        <w:rPr>
          <w:rFonts w:ascii="Arial" w:eastAsia="Times New Roman" w:hAnsi="Arial" w:cs="Arial"/>
          <w:sz w:val="24"/>
          <w:szCs w:val="24"/>
          <w:lang w:val="en-GB" w:eastAsia="en-GB"/>
        </w:rPr>
        <w:t>August</w:t>
      </w:r>
      <w:r w:rsidR="005F5B3B">
        <w:rPr>
          <w:rFonts w:ascii="Arial" w:eastAsia="Times New Roman" w:hAnsi="Arial" w:cs="Arial"/>
          <w:sz w:val="24"/>
          <w:szCs w:val="24"/>
          <w:lang w:val="en-GB" w:eastAsia="en-GB"/>
        </w:rPr>
        <w:t xml:space="preserve"> 2014, certificates of non-resolution were issued by the CCMA in respect of all of these disputes. </w:t>
      </w:r>
    </w:p>
    <w:p w:rsidR="00F76592" w:rsidRDefault="00CE07C6" w:rsidP="00A826E5">
      <w:pPr>
        <w:spacing w:line="360" w:lineRule="auto"/>
        <w:ind w:left="720" w:hanging="720"/>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[5</w:t>
      </w:r>
      <w:r w:rsidR="004870B0">
        <w:rPr>
          <w:rFonts w:ascii="Arial" w:eastAsia="Times New Roman" w:hAnsi="Arial" w:cs="Arial"/>
          <w:sz w:val="24"/>
          <w:szCs w:val="24"/>
          <w:lang w:val="en-GB" w:eastAsia="en-GB"/>
        </w:rPr>
        <w:t>]</w:t>
      </w:r>
      <w:r w:rsidR="004870B0">
        <w:rPr>
          <w:rFonts w:ascii="Arial" w:eastAsia="Times New Roman" w:hAnsi="Arial" w:cs="Arial"/>
          <w:sz w:val="24"/>
          <w:szCs w:val="24"/>
          <w:lang w:val="en-GB" w:eastAsia="en-GB"/>
        </w:rPr>
        <w:tab/>
      </w:r>
      <w:r w:rsidR="003477ED">
        <w:rPr>
          <w:rFonts w:ascii="Arial" w:eastAsia="Times New Roman" w:hAnsi="Arial" w:cs="Arial"/>
          <w:sz w:val="24"/>
          <w:szCs w:val="24"/>
          <w:lang w:val="en-GB" w:eastAsia="en-GB"/>
        </w:rPr>
        <w:t>On 3 September 2013, after giving the</w:t>
      </w:r>
      <w:r w:rsidR="00F76592">
        <w:rPr>
          <w:rFonts w:ascii="Arial" w:eastAsia="Times New Roman" w:hAnsi="Arial" w:cs="Arial"/>
          <w:sz w:val="24"/>
          <w:szCs w:val="24"/>
          <w:lang w:val="en-GB" w:eastAsia="en-GB"/>
        </w:rPr>
        <w:t xml:space="preserve"> required notice, NUM mem</w:t>
      </w:r>
      <w:r w:rsidR="003477ED">
        <w:rPr>
          <w:rFonts w:ascii="Arial" w:eastAsia="Times New Roman" w:hAnsi="Arial" w:cs="Arial"/>
          <w:sz w:val="24"/>
          <w:szCs w:val="24"/>
          <w:lang w:val="en-GB" w:eastAsia="en-GB"/>
        </w:rPr>
        <w:t>bers embarked on a protected strike</w:t>
      </w:r>
      <w:r w:rsidR="0003674D">
        <w:rPr>
          <w:rFonts w:ascii="Arial" w:eastAsia="Times New Roman" w:hAnsi="Arial" w:cs="Arial"/>
          <w:sz w:val="24"/>
          <w:szCs w:val="24"/>
          <w:lang w:val="en-GB" w:eastAsia="en-GB"/>
        </w:rPr>
        <w:t xml:space="preserve"> in support of their demands</w:t>
      </w:r>
      <w:r w:rsidR="003477ED">
        <w:rPr>
          <w:rFonts w:ascii="Arial" w:eastAsia="Times New Roman" w:hAnsi="Arial" w:cs="Arial"/>
          <w:sz w:val="24"/>
          <w:szCs w:val="24"/>
          <w:lang w:val="en-GB" w:eastAsia="en-GB"/>
        </w:rPr>
        <w:t>.</w:t>
      </w:r>
      <w:r w:rsidR="00B2236C">
        <w:rPr>
          <w:rFonts w:ascii="Arial" w:eastAsia="Times New Roman" w:hAnsi="Arial" w:cs="Arial"/>
          <w:sz w:val="24"/>
          <w:szCs w:val="24"/>
          <w:lang w:val="en-GB" w:eastAsia="en-GB"/>
        </w:rPr>
        <w:t xml:space="preserve"> </w:t>
      </w:r>
      <w:r w:rsidR="00F76592">
        <w:rPr>
          <w:rFonts w:ascii="Arial" w:eastAsia="Times New Roman" w:hAnsi="Arial" w:cs="Arial"/>
          <w:sz w:val="24"/>
          <w:szCs w:val="24"/>
          <w:lang w:val="en-GB" w:eastAsia="en-GB"/>
        </w:rPr>
        <w:t xml:space="preserve">On 6 September 2013 the Chamber sent a revised offer to the union parties to the negotiation, including AMCU. On 9 September 2013, AMCU rejected the offer. </w:t>
      </w:r>
      <w:r w:rsidR="00C01C71">
        <w:rPr>
          <w:rFonts w:ascii="Arial" w:eastAsia="Times New Roman" w:hAnsi="Arial" w:cs="Arial"/>
          <w:sz w:val="24"/>
          <w:szCs w:val="24"/>
          <w:lang w:val="en-GB" w:eastAsia="en-GB"/>
        </w:rPr>
        <w:t xml:space="preserve">On 10 September 2013 </w:t>
      </w:r>
      <w:r w:rsidR="00C01C71">
        <w:rPr>
          <w:rFonts w:ascii="Arial" w:eastAsia="Times New Roman" w:hAnsi="Arial" w:cs="Arial"/>
          <w:sz w:val="24"/>
          <w:szCs w:val="24"/>
          <w:lang w:val="en-GB" w:eastAsia="en-GB"/>
        </w:rPr>
        <w:lastRenderedPageBreak/>
        <w:t xml:space="preserve">the Chamber signed an agreement </w:t>
      </w:r>
      <w:r w:rsidR="00B2236C">
        <w:rPr>
          <w:rFonts w:ascii="Arial" w:eastAsia="Times New Roman" w:hAnsi="Arial" w:cs="Arial"/>
          <w:sz w:val="24"/>
          <w:szCs w:val="24"/>
          <w:lang w:val="en-GB" w:eastAsia="en-GB"/>
        </w:rPr>
        <w:t xml:space="preserve">(the wage agreement) </w:t>
      </w:r>
      <w:r w:rsidR="00C01C71">
        <w:rPr>
          <w:rFonts w:ascii="Arial" w:eastAsia="Times New Roman" w:hAnsi="Arial" w:cs="Arial"/>
          <w:sz w:val="24"/>
          <w:szCs w:val="24"/>
          <w:lang w:val="en-GB" w:eastAsia="en-GB"/>
        </w:rPr>
        <w:t>with NUM</w:t>
      </w:r>
      <w:r w:rsidR="00B2236C">
        <w:rPr>
          <w:rFonts w:ascii="Arial" w:eastAsia="Times New Roman" w:hAnsi="Arial" w:cs="Arial"/>
          <w:sz w:val="24"/>
          <w:szCs w:val="24"/>
          <w:lang w:val="en-GB" w:eastAsia="en-GB"/>
        </w:rPr>
        <w:t>, Solidarity and UASA.</w:t>
      </w:r>
      <w:r w:rsidR="009D30DD">
        <w:rPr>
          <w:rFonts w:ascii="Arial" w:eastAsia="Times New Roman" w:hAnsi="Arial" w:cs="Arial"/>
          <w:sz w:val="24"/>
          <w:szCs w:val="24"/>
          <w:lang w:val="en-GB" w:eastAsia="en-GB"/>
        </w:rPr>
        <w:t xml:space="preserve"> The wage agreement comprises</w:t>
      </w:r>
      <w:r w:rsidR="00C01C71">
        <w:rPr>
          <w:rFonts w:ascii="Arial" w:eastAsia="Times New Roman" w:hAnsi="Arial" w:cs="Arial"/>
          <w:sz w:val="24"/>
          <w:szCs w:val="24"/>
          <w:lang w:val="en-GB" w:eastAsia="en-GB"/>
        </w:rPr>
        <w:t xml:space="preserve"> a review of wages and other conditions of employment for the period 2013 to 2015.</w:t>
      </w:r>
    </w:p>
    <w:p w:rsidR="00B2236C" w:rsidRDefault="00CE07C6" w:rsidP="00A826E5">
      <w:pPr>
        <w:spacing w:line="360" w:lineRule="auto"/>
        <w:ind w:left="720" w:hanging="720"/>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[6</w:t>
      </w:r>
      <w:r w:rsidR="00F76592">
        <w:rPr>
          <w:rFonts w:ascii="Arial" w:eastAsia="Times New Roman" w:hAnsi="Arial" w:cs="Arial"/>
          <w:sz w:val="24"/>
          <w:szCs w:val="24"/>
          <w:lang w:val="en-GB" w:eastAsia="en-GB"/>
        </w:rPr>
        <w:t>]</w:t>
      </w:r>
      <w:r w:rsidR="00F76592">
        <w:rPr>
          <w:rFonts w:ascii="Arial" w:eastAsia="Times New Roman" w:hAnsi="Arial" w:cs="Arial"/>
          <w:sz w:val="24"/>
          <w:szCs w:val="24"/>
          <w:lang w:val="en-GB" w:eastAsia="en-GB"/>
        </w:rPr>
        <w:tab/>
      </w:r>
      <w:r w:rsidR="00C01C71">
        <w:rPr>
          <w:rFonts w:ascii="Arial" w:eastAsia="Times New Roman" w:hAnsi="Arial" w:cs="Arial"/>
          <w:sz w:val="24"/>
          <w:szCs w:val="24"/>
          <w:lang w:val="en-GB" w:eastAsia="en-GB"/>
        </w:rPr>
        <w:t xml:space="preserve">Clause 1.2 of the </w:t>
      </w:r>
      <w:r w:rsidR="00F76592">
        <w:rPr>
          <w:rFonts w:ascii="Arial" w:eastAsia="Times New Roman" w:hAnsi="Arial" w:cs="Arial"/>
          <w:sz w:val="24"/>
          <w:szCs w:val="24"/>
          <w:lang w:val="en-GB" w:eastAsia="en-GB"/>
        </w:rPr>
        <w:t xml:space="preserve">wage </w:t>
      </w:r>
      <w:r w:rsidR="00C01C71">
        <w:rPr>
          <w:rFonts w:ascii="Arial" w:eastAsia="Times New Roman" w:hAnsi="Arial" w:cs="Arial"/>
          <w:sz w:val="24"/>
          <w:szCs w:val="24"/>
          <w:lang w:val="en-GB" w:eastAsia="en-GB"/>
        </w:rPr>
        <w:t>agreement provides that in terms of s 23 (1) (d) of the LRA, the agreement binds all other employees (i.e. employees not member</w:t>
      </w:r>
      <w:r w:rsidR="005F5B3B">
        <w:rPr>
          <w:rFonts w:ascii="Arial" w:eastAsia="Times New Roman" w:hAnsi="Arial" w:cs="Arial"/>
          <w:sz w:val="24"/>
          <w:szCs w:val="24"/>
          <w:lang w:val="en-GB" w:eastAsia="en-GB"/>
        </w:rPr>
        <w:t>s</w:t>
      </w:r>
      <w:r w:rsidR="00C01C71">
        <w:rPr>
          <w:rFonts w:ascii="Arial" w:eastAsia="Times New Roman" w:hAnsi="Arial" w:cs="Arial"/>
          <w:sz w:val="24"/>
          <w:szCs w:val="24"/>
          <w:lang w:val="en-GB" w:eastAsia="en-GB"/>
        </w:rPr>
        <w:t xml:space="preserve"> of the </w:t>
      </w:r>
      <w:r w:rsidR="004870B0">
        <w:rPr>
          <w:rFonts w:ascii="Arial" w:eastAsia="Times New Roman" w:hAnsi="Arial" w:cs="Arial"/>
          <w:sz w:val="24"/>
          <w:szCs w:val="24"/>
          <w:lang w:val="en-GB" w:eastAsia="en-GB"/>
        </w:rPr>
        <w:t xml:space="preserve">trade </w:t>
      </w:r>
      <w:r w:rsidR="00C01C71">
        <w:rPr>
          <w:rFonts w:ascii="Arial" w:eastAsia="Times New Roman" w:hAnsi="Arial" w:cs="Arial"/>
          <w:sz w:val="24"/>
          <w:szCs w:val="24"/>
          <w:lang w:val="en-GB" w:eastAsia="en-GB"/>
        </w:rPr>
        <w:t>unions party to the agreement) employed in recognition units ‘</w:t>
      </w:r>
      <w:r w:rsidR="00C01C71" w:rsidRPr="00A826E5">
        <w:rPr>
          <w:rFonts w:ascii="Arial" w:eastAsia="Times New Roman" w:hAnsi="Arial" w:cs="Arial"/>
          <w:i/>
          <w:sz w:val="24"/>
          <w:szCs w:val="24"/>
          <w:lang w:val="en-GB" w:eastAsia="en-GB"/>
        </w:rPr>
        <w:t>in the workplace</w:t>
      </w:r>
      <w:r w:rsidR="00757726" w:rsidRPr="00A826E5">
        <w:rPr>
          <w:rFonts w:ascii="Arial" w:eastAsia="Times New Roman" w:hAnsi="Arial" w:cs="Arial"/>
          <w:i/>
          <w:sz w:val="24"/>
          <w:szCs w:val="24"/>
          <w:lang w:val="en-GB" w:eastAsia="en-GB"/>
        </w:rPr>
        <w:t xml:space="preserve"> of each respective employer</w:t>
      </w:r>
      <w:r w:rsidR="00757726">
        <w:rPr>
          <w:rFonts w:ascii="Arial" w:eastAsia="Times New Roman" w:hAnsi="Arial" w:cs="Arial"/>
          <w:sz w:val="24"/>
          <w:szCs w:val="24"/>
          <w:lang w:val="en-GB" w:eastAsia="en-GB"/>
        </w:rPr>
        <w:t xml:space="preserve">’. </w:t>
      </w:r>
      <w:r w:rsidR="00B2236C">
        <w:rPr>
          <w:rFonts w:ascii="Arial" w:eastAsia="Times New Roman" w:hAnsi="Arial" w:cs="Arial"/>
          <w:sz w:val="24"/>
          <w:szCs w:val="24"/>
          <w:lang w:val="en-GB" w:eastAsia="en-GB"/>
        </w:rPr>
        <w:t>Clause 17 of the wage agreement records that the agreement is concluded in full and final settlement of all demands and proposals made during the negotiations and that no party bound by the agreement will call for any s</w:t>
      </w:r>
      <w:r w:rsidR="004870B0">
        <w:rPr>
          <w:rFonts w:ascii="Arial" w:eastAsia="Times New Roman" w:hAnsi="Arial" w:cs="Arial"/>
          <w:sz w:val="24"/>
          <w:szCs w:val="24"/>
          <w:lang w:val="en-GB" w:eastAsia="en-GB"/>
        </w:rPr>
        <w:t>trike or lockout in support of</w:t>
      </w:r>
      <w:r w:rsidR="00B2236C">
        <w:rPr>
          <w:rFonts w:ascii="Arial" w:eastAsia="Times New Roman" w:hAnsi="Arial" w:cs="Arial"/>
          <w:sz w:val="24"/>
          <w:szCs w:val="24"/>
          <w:lang w:val="en-GB" w:eastAsia="en-GB"/>
        </w:rPr>
        <w:t xml:space="preserve"> demands or proposal</w:t>
      </w:r>
      <w:r w:rsidR="0003674D">
        <w:rPr>
          <w:rFonts w:ascii="Arial" w:eastAsia="Times New Roman" w:hAnsi="Arial" w:cs="Arial"/>
          <w:sz w:val="24"/>
          <w:szCs w:val="24"/>
          <w:lang w:val="en-GB" w:eastAsia="en-GB"/>
        </w:rPr>
        <w:t>s</w:t>
      </w:r>
      <w:r w:rsidR="00B2236C">
        <w:rPr>
          <w:rFonts w:ascii="Arial" w:eastAsia="Times New Roman" w:hAnsi="Arial" w:cs="Arial"/>
          <w:sz w:val="24"/>
          <w:szCs w:val="24"/>
          <w:lang w:val="en-GB" w:eastAsia="en-GB"/>
        </w:rPr>
        <w:t xml:space="preserve"> to amend wages and other conditions of employment, for the duration of the agreement.  </w:t>
      </w:r>
      <w:r w:rsidR="00757726">
        <w:rPr>
          <w:rFonts w:ascii="Arial" w:eastAsia="Times New Roman" w:hAnsi="Arial" w:cs="Arial"/>
          <w:sz w:val="24"/>
          <w:szCs w:val="24"/>
          <w:lang w:val="en-GB" w:eastAsia="en-GB"/>
        </w:rPr>
        <w:t>T</w:t>
      </w:r>
      <w:r w:rsidR="00C01C71">
        <w:rPr>
          <w:rFonts w:ascii="Arial" w:eastAsia="Times New Roman" w:hAnsi="Arial" w:cs="Arial"/>
          <w:sz w:val="24"/>
          <w:szCs w:val="24"/>
          <w:lang w:val="en-GB" w:eastAsia="en-GB"/>
        </w:rPr>
        <w:t xml:space="preserve">he Chamber </w:t>
      </w:r>
      <w:r w:rsidR="00126D92">
        <w:rPr>
          <w:rFonts w:ascii="Arial" w:eastAsia="Times New Roman" w:hAnsi="Arial" w:cs="Arial"/>
          <w:sz w:val="24"/>
          <w:szCs w:val="24"/>
          <w:lang w:val="en-GB" w:eastAsia="en-GB"/>
        </w:rPr>
        <w:t>signed</w:t>
      </w:r>
      <w:r w:rsidR="00C01C71">
        <w:rPr>
          <w:rFonts w:ascii="Arial" w:eastAsia="Times New Roman" w:hAnsi="Arial" w:cs="Arial"/>
          <w:sz w:val="24"/>
          <w:szCs w:val="24"/>
          <w:lang w:val="en-GB" w:eastAsia="en-GB"/>
        </w:rPr>
        <w:t xml:space="preserve"> the agreement as the</w:t>
      </w:r>
      <w:r w:rsidR="00757726">
        <w:rPr>
          <w:rFonts w:ascii="Arial" w:eastAsia="Times New Roman" w:hAnsi="Arial" w:cs="Arial"/>
          <w:sz w:val="24"/>
          <w:szCs w:val="24"/>
          <w:lang w:val="en-GB" w:eastAsia="en-GB"/>
        </w:rPr>
        <w:t xml:space="preserve"> representative of</w:t>
      </w:r>
      <w:r w:rsidR="00126D92">
        <w:rPr>
          <w:rFonts w:ascii="Arial" w:eastAsia="Times New Roman" w:hAnsi="Arial" w:cs="Arial"/>
          <w:sz w:val="24"/>
          <w:szCs w:val="24"/>
          <w:lang w:val="en-GB" w:eastAsia="en-GB"/>
        </w:rPr>
        <w:t xml:space="preserve"> its mem</w:t>
      </w:r>
      <w:r w:rsidR="00C01C71">
        <w:rPr>
          <w:rFonts w:ascii="Arial" w:eastAsia="Times New Roman" w:hAnsi="Arial" w:cs="Arial"/>
          <w:sz w:val="24"/>
          <w:szCs w:val="24"/>
          <w:lang w:val="en-GB" w:eastAsia="en-GB"/>
        </w:rPr>
        <w:t xml:space="preserve">bers recorded in annexure A </w:t>
      </w:r>
      <w:r w:rsidR="00B32B5E">
        <w:rPr>
          <w:rFonts w:ascii="Arial" w:eastAsia="Times New Roman" w:hAnsi="Arial" w:cs="Arial"/>
          <w:sz w:val="24"/>
          <w:szCs w:val="24"/>
          <w:lang w:val="en-GB" w:eastAsia="en-GB"/>
        </w:rPr>
        <w:t xml:space="preserve">to </w:t>
      </w:r>
      <w:r w:rsidR="00C01C71">
        <w:rPr>
          <w:rFonts w:ascii="Arial" w:eastAsia="Times New Roman" w:hAnsi="Arial" w:cs="Arial"/>
          <w:sz w:val="24"/>
          <w:szCs w:val="24"/>
          <w:lang w:val="en-GB" w:eastAsia="en-GB"/>
        </w:rPr>
        <w:t>t</w:t>
      </w:r>
      <w:r w:rsidR="00126D92">
        <w:rPr>
          <w:rFonts w:ascii="Arial" w:eastAsia="Times New Roman" w:hAnsi="Arial" w:cs="Arial"/>
          <w:sz w:val="24"/>
          <w:szCs w:val="24"/>
          <w:lang w:val="en-GB" w:eastAsia="en-GB"/>
        </w:rPr>
        <w:t xml:space="preserve">he </w:t>
      </w:r>
      <w:r w:rsidR="00C01C71">
        <w:rPr>
          <w:rFonts w:ascii="Arial" w:eastAsia="Times New Roman" w:hAnsi="Arial" w:cs="Arial"/>
          <w:sz w:val="24"/>
          <w:szCs w:val="24"/>
          <w:lang w:val="en-GB" w:eastAsia="en-GB"/>
        </w:rPr>
        <w:t>agreem</w:t>
      </w:r>
      <w:r w:rsidR="00126D92">
        <w:rPr>
          <w:rFonts w:ascii="Arial" w:eastAsia="Times New Roman" w:hAnsi="Arial" w:cs="Arial"/>
          <w:sz w:val="24"/>
          <w:szCs w:val="24"/>
          <w:lang w:val="en-GB" w:eastAsia="en-GB"/>
        </w:rPr>
        <w:t>e</w:t>
      </w:r>
      <w:r w:rsidR="00C01C71">
        <w:rPr>
          <w:rFonts w:ascii="Arial" w:eastAsia="Times New Roman" w:hAnsi="Arial" w:cs="Arial"/>
          <w:sz w:val="24"/>
          <w:szCs w:val="24"/>
          <w:lang w:val="en-GB" w:eastAsia="en-GB"/>
        </w:rPr>
        <w:t>nt, each of whom recorded that the agreement was signed ‘</w:t>
      </w:r>
      <w:r w:rsidR="00C01C71" w:rsidRPr="00A826E5">
        <w:rPr>
          <w:rFonts w:ascii="Arial" w:eastAsia="Times New Roman" w:hAnsi="Arial" w:cs="Arial"/>
          <w:i/>
          <w:sz w:val="24"/>
          <w:szCs w:val="24"/>
          <w:lang w:val="en-GB" w:eastAsia="en-GB"/>
        </w:rPr>
        <w:t>in respect of the workplace</w:t>
      </w:r>
      <w:r w:rsidR="009D30DD">
        <w:rPr>
          <w:rFonts w:ascii="Arial" w:eastAsia="Times New Roman" w:hAnsi="Arial" w:cs="Arial"/>
          <w:sz w:val="24"/>
          <w:szCs w:val="24"/>
          <w:lang w:val="en-GB" w:eastAsia="en-GB"/>
        </w:rPr>
        <w:t>’ defined to mean</w:t>
      </w:r>
      <w:r w:rsidR="00C01C71">
        <w:rPr>
          <w:rFonts w:ascii="Arial" w:eastAsia="Times New Roman" w:hAnsi="Arial" w:cs="Arial"/>
          <w:sz w:val="24"/>
          <w:szCs w:val="24"/>
          <w:lang w:val="en-GB" w:eastAsia="en-GB"/>
        </w:rPr>
        <w:t>, in each case, their respective mines and operations.</w:t>
      </w:r>
    </w:p>
    <w:p w:rsidR="00C01C71" w:rsidRDefault="00CE07C6" w:rsidP="00A826E5">
      <w:pPr>
        <w:spacing w:line="360" w:lineRule="auto"/>
        <w:ind w:left="720" w:hanging="720"/>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[7</w:t>
      </w:r>
      <w:r w:rsidR="00B2236C">
        <w:rPr>
          <w:rFonts w:ascii="Arial" w:eastAsia="Times New Roman" w:hAnsi="Arial" w:cs="Arial"/>
          <w:sz w:val="24"/>
          <w:szCs w:val="24"/>
          <w:lang w:val="en-GB" w:eastAsia="en-GB"/>
        </w:rPr>
        <w:t>]</w:t>
      </w:r>
      <w:r w:rsidR="00B2236C">
        <w:rPr>
          <w:rFonts w:ascii="Arial" w:eastAsia="Times New Roman" w:hAnsi="Arial" w:cs="Arial"/>
          <w:sz w:val="24"/>
          <w:szCs w:val="24"/>
          <w:lang w:val="en-GB" w:eastAsia="en-GB"/>
        </w:rPr>
        <w:tab/>
      </w:r>
      <w:r w:rsidR="00396FD5">
        <w:rPr>
          <w:rFonts w:ascii="Arial" w:eastAsia="Times New Roman" w:hAnsi="Arial" w:cs="Arial"/>
          <w:sz w:val="24"/>
          <w:szCs w:val="24"/>
          <w:lang w:val="en-GB" w:eastAsia="en-GB"/>
        </w:rPr>
        <w:t>It i</w:t>
      </w:r>
      <w:r w:rsidR="00757726">
        <w:rPr>
          <w:rFonts w:ascii="Arial" w:eastAsia="Times New Roman" w:hAnsi="Arial" w:cs="Arial"/>
          <w:sz w:val="24"/>
          <w:szCs w:val="24"/>
          <w:lang w:val="en-GB" w:eastAsia="en-GB"/>
        </w:rPr>
        <w:t xml:space="preserve">s </w:t>
      </w:r>
      <w:r w:rsidR="00396FD5">
        <w:rPr>
          <w:rFonts w:ascii="Arial" w:eastAsia="Times New Roman" w:hAnsi="Arial" w:cs="Arial"/>
          <w:sz w:val="24"/>
          <w:szCs w:val="24"/>
          <w:lang w:val="en-GB" w:eastAsia="en-GB"/>
        </w:rPr>
        <w:t>not</w:t>
      </w:r>
      <w:r w:rsidR="00757726">
        <w:rPr>
          <w:rFonts w:ascii="Arial" w:eastAsia="Times New Roman" w:hAnsi="Arial" w:cs="Arial"/>
          <w:sz w:val="24"/>
          <w:szCs w:val="24"/>
          <w:lang w:val="en-GB" w:eastAsia="en-GB"/>
        </w:rPr>
        <w:t xml:space="preserve"> dispute</w:t>
      </w:r>
      <w:r w:rsidR="00396FD5">
        <w:rPr>
          <w:rFonts w:ascii="Arial" w:eastAsia="Times New Roman" w:hAnsi="Arial" w:cs="Arial"/>
          <w:sz w:val="24"/>
          <w:szCs w:val="24"/>
          <w:lang w:val="en-GB" w:eastAsia="en-GB"/>
        </w:rPr>
        <w:t>d</w:t>
      </w:r>
      <w:r w:rsidR="00757726">
        <w:rPr>
          <w:rFonts w:ascii="Arial" w:eastAsia="Times New Roman" w:hAnsi="Arial" w:cs="Arial"/>
          <w:sz w:val="24"/>
          <w:szCs w:val="24"/>
          <w:lang w:val="en-GB" w:eastAsia="en-GB"/>
        </w:rPr>
        <w:t xml:space="preserve"> that </w:t>
      </w:r>
      <w:r w:rsidR="001D6B02">
        <w:rPr>
          <w:rFonts w:ascii="Arial" w:eastAsia="Times New Roman" w:hAnsi="Arial" w:cs="Arial"/>
          <w:sz w:val="24"/>
          <w:szCs w:val="24"/>
          <w:lang w:val="en-GB" w:eastAsia="en-GB"/>
        </w:rPr>
        <w:t xml:space="preserve">while </w:t>
      </w:r>
      <w:r w:rsidR="004C4008">
        <w:rPr>
          <w:rFonts w:ascii="Arial" w:eastAsia="Times New Roman" w:hAnsi="Arial" w:cs="Arial"/>
          <w:sz w:val="24"/>
          <w:szCs w:val="24"/>
          <w:lang w:val="en-GB" w:eastAsia="en-GB"/>
        </w:rPr>
        <w:t>AMCU represents</w:t>
      </w:r>
      <w:r w:rsidR="00757726">
        <w:rPr>
          <w:rFonts w:ascii="Arial" w:eastAsia="Times New Roman" w:hAnsi="Arial" w:cs="Arial"/>
          <w:sz w:val="24"/>
          <w:szCs w:val="24"/>
          <w:lang w:val="en-GB" w:eastAsia="en-GB"/>
        </w:rPr>
        <w:t xml:space="preserve"> a majority </w:t>
      </w:r>
      <w:r w:rsidR="001D6B02">
        <w:rPr>
          <w:rFonts w:ascii="Arial" w:eastAsia="Times New Roman" w:hAnsi="Arial" w:cs="Arial"/>
          <w:sz w:val="24"/>
          <w:szCs w:val="24"/>
          <w:lang w:val="en-GB" w:eastAsia="en-GB"/>
        </w:rPr>
        <w:t xml:space="preserve">of the </w:t>
      </w:r>
      <w:r w:rsidR="00757726">
        <w:rPr>
          <w:rFonts w:ascii="Arial" w:eastAsia="Times New Roman" w:hAnsi="Arial" w:cs="Arial"/>
          <w:sz w:val="24"/>
          <w:szCs w:val="24"/>
          <w:lang w:val="en-GB" w:eastAsia="en-GB"/>
        </w:rPr>
        <w:t>employees at five mines (three managed by AngloGold Ashanti, one by Sibanye and one at Har</w:t>
      </w:r>
      <w:r w:rsidR="001D6B02">
        <w:rPr>
          <w:rFonts w:ascii="Arial" w:eastAsia="Times New Roman" w:hAnsi="Arial" w:cs="Arial"/>
          <w:sz w:val="24"/>
          <w:szCs w:val="24"/>
          <w:lang w:val="en-GB" w:eastAsia="en-GB"/>
        </w:rPr>
        <w:t xml:space="preserve">mony), </w:t>
      </w:r>
      <w:r w:rsidR="00757726">
        <w:rPr>
          <w:rFonts w:ascii="Arial" w:eastAsia="Times New Roman" w:hAnsi="Arial" w:cs="Arial"/>
          <w:sz w:val="24"/>
          <w:szCs w:val="24"/>
          <w:lang w:val="en-GB" w:eastAsia="en-GB"/>
        </w:rPr>
        <w:t xml:space="preserve">the </w:t>
      </w:r>
      <w:r w:rsidR="001D6B02">
        <w:rPr>
          <w:rFonts w:ascii="Arial" w:eastAsia="Times New Roman" w:hAnsi="Arial" w:cs="Arial"/>
          <w:sz w:val="24"/>
          <w:szCs w:val="24"/>
          <w:lang w:val="en-GB" w:eastAsia="en-GB"/>
        </w:rPr>
        <w:t>number of employees who are covered by the wage agreement on extension constitute</w:t>
      </w:r>
      <w:r w:rsidR="00757726">
        <w:rPr>
          <w:rFonts w:ascii="Arial" w:eastAsia="Times New Roman" w:hAnsi="Arial" w:cs="Arial"/>
          <w:sz w:val="24"/>
          <w:szCs w:val="24"/>
          <w:lang w:val="en-GB" w:eastAsia="en-GB"/>
        </w:rPr>
        <w:t xml:space="preserve"> a majority of </w:t>
      </w:r>
      <w:r w:rsidR="001D6B02">
        <w:rPr>
          <w:rFonts w:ascii="Arial" w:eastAsia="Times New Roman" w:hAnsi="Arial" w:cs="Arial"/>
          <w:sz w:val="24"/>
          <w:szCs w:val="24"/>
          <w:lang w:val="en-GB" w:eastAsia="en-GB"/>
        </w:rPr>
        <w:t>the total number of employees</w:t>
      </w:r>
      <w:r w:rsidR="00757726">
        <w:rPr>
          <w:rFonts w:ascii="Arial" w:eastAsia="Times New Roman" w:hAnsi="Arial" w:cs="Arial"/>
          <w:sz w:val="24"/>
          <w:szCs w:val="24"/>
          <w:lang w:val="en-GB" w:eastAsia="en-GB"/>
        </w:rPr>
        <w:t xml:space="preserve"> employed by each </w:t>
      </w:r>
      <w:r w:rsidR="001D6B02">
        <w:rPr>
          <w:rFonts w:ascii="Arial" w:eastAsia="Times New Roman" w:hAnsi="Arial" w:cs="Arial"/>
          <w:sz w:val="24"/>
          <w:szCs w:val="24"/>
          <w:lang w:val="en-GB" w:eastAsia="en-GB"/>
        </w:rPr>
        <w:t>of the employer parties</w:t>
      </w:r>
      <w:r w:rsidR="004C4008">
        <w:rPr>
          <w:rFonts w:ascii="Arial" w:eastAsia="Times New Roman" w:hAnsi="Arial" w:cs="Arial"/>
          <w:sz w:val="24"/>
          <w:szCs w:val="24"/>
          <w:lang w:val="en-GB" w:eastAsia="en-GB"/>
        </w:rPr>
        <w:t xml:space="preserve"> to the agreement</w:t>
      </w:r>
      <w:r w:rsidR="001D6B02">
        <w:rPr>
          <w:rFonts w:ascii="Arial" w:eastAsia="Times New Roman" w:hAnsi="Arial" w:cs="Arial"/>
          <w:sz w:val="24"/>
          <w:szCs w:val="24"/>
          <w:lang w:val="en-GB" w:eastAsia="en-GB"/>
        </w:rPr>
        <w:t>.</w:t>
      </w:r>
      <w:r>
        <w:rPr>
          <w:rStyle w:val="FootnoteReference"/>
          <w:rFonts w:ascii="Arial" w:eastAsia="Times New Roman" w:hAnsi="Arial" w:cs="Arial"/>
          <w:sz w:val="24"/>
          <w:szCs w:val="24"/>
          <w:lang w:val="en-GB" w:eastAsia="en-GB"/>
        </w:rPr>
        <w:footnoteReference w:id="3"/>
      </w:r>
      <w:r w:rsidR="00B2236C">
        <w:rPr>
          <w:rFonts w:ascii="Arial" w:eastAsia="Times New Roman" w:hAnsi="Arial" w:cs="Arial"/>
          <w:sz w:val="24"/>
          <w:szCs w:val="24"/>
          <w:lang w:val="en-GB" w:eastAsia="en-GB"/>
        </w:rPr>
        <w:t xml:space="preserve"> </w:t>
      </w:r>
      <w:r w:rsidR="00A826E5">
        <w:rPr>
          <w:rFonts w:ascii="Arial" w:eastAsia="Times New Roman" w:hAnsi="Arial" w:cs="Arial"/>
          <w:sz w:val="24"/>
          <w:szCs w:val="24"/>
          <w:lang w:val="en-GB" w:eastAsia="en-GB"/>
        </w:rPr>
        <w:t>It i</w:t>
      </w:r>
      <w:r w:rsidR="00B2236C">
        <w:rPr>
          <w:rFonts w:ascii="Arial" w:eastAsia="Times New Roman" w:hAnsi="Arial" w:cs="Arial"/>
          <w:sz w:val="24"/>
          <w:szCs w:val="24"/>
          <w:lang w:val="en-GB" w:eastAsia="en-GB"/>
        </w:rPr>
        <w:t>s</w:t>
      </w:r>
      <w:r w:rsidR="004870B0">
        <w:rPr>
          <w:rFonts w:ascii="Arial" w:eastAsia="Times New Roman" w:hAnsi="Arial" w:cs="Arial"/>
          <w:sz w:val="24"/>
          <w:szCs w:val="24"/>
          <w:lang w:val="en-GB" w:eastAsia="en-GB"/>
        </w:rPr>
        <w:t xml:space="preserve"> </w:t>
      </w:r>
      <w:r w:rsidR="00727F93">
        <w:rPr>
          <w:rFonts w:ascii="Arial" w:eastAsia="Times New Roman" w:hAnsi="Arial" w:cs="Arial"/>
          <w:sz w:val="24"/>
          <w:szCs w:val="24"/>
          <w:lang w:val="en-GB" w:eastAsia="en-GB"/>
        </w:rPr>
        <w:t xml:space="preserve">also </w:t>
      </w:r>
      <w:r w:rsidR="004870B0">
        <w:rPr>
          <w:rFonts w:ascii="Arial" w:eastAsia="Times New Roman" w:hAnsi="Arial" w:cs="Arial"/>
          <w:sz w:val="24"/>
          <w:szCs w:val="24"/>
          <w:lang w:val="en-GB" w:eastAsia="en-GB"/>
        </w:rPr>
        <w:t xml:space="preserve">not disputed that despite an initial averment to the contrary and in compliance with s 23 (1) (d), the majority threshold was determined by reference to the total number of employees employed by each of the employer parties, and not on the basis of those employees engaged by each of them in the agreed bargaining unit. </w:t>
      </w:r>
      <w:r w:rsidR="00AA26C4">
        <w:rPr>
          <w:rFonts w:ascii="Arial" w:eastAsia="Times New Roman" w:hAnsi="Arial" w:cs="Arial"/>
          <w:sz w:val="24"/>
          <w:szCs w:val="24"/>
          <w:lang w:val="en-GB" w:eastAsia="en-GB"/>
        </w:rPr>
        <w:t xml:space="preserve">It is also common cause that AMCU is party to a recognition agreement at Harmony’s Kusasalethu Operation, and at Sibanye’s Driefontein operation. </w:t>
      </w:r>
      <w:r w:rsidR="00B2236C">
        <w:rPr>
          <w:rFonts w:ascii="Arial" w:eastAsia="Times New Roman" w:hAnsi="Arial" w:cs="Arial"/>
          <w:sz w:val="24"/>
          <w:szCs w:val="24"/>
          <w:lang w:val="en-GB" w:eastAsia="en-GB"/>
        </w:rPr>
        <w:t>At AngloGold Ashanti’s Mponeng</w:t>
      </w:r>
      <w:r w:rsidR="00C83E76">
        <w:rPr>
          <w:rFonts w:ascii="Arial" w:eastAsia="Times New Roman" w:hAnsi="Arial" w:cs="Arial"/>
          <w:sz w:val="24"/>
          <w:szCs w:val="24"/>
          <w:lang w:val="en-GB" w:eastAsia="en-GB"/>
        </w:rPr>
        <w:t>, Savuka and Tautona Mines, AMCU</w:t>
      </w:r>
      <w:r w:rsidR="00B2236C">
        <w:rPr>
          <w:rFonts w:ascii="Arial" w:eastAsia="Times New Roman" w:hAnsi="Arial" w:cs="Arial"/>
          <w:sz w:val="24"/>
          <w:szCs w:val="24"/>
          <w:lang w:val="en-GB" w:eastAsia="en-GB"/>
        </w:rPr>
        <w:t xml:space="preserve"> is in the process of negotiating a recognition agreement. </w:t>
      </w:r>
    </w:p>
    <w:p w:rsidR="00396FD5" w:rsidRDefault="0049189C" w:rsidP="00A826E5">
      <w:pPr>
        <w:spacing w:line="360" w:lineRule="auto"/>
        <w:ind w:left="720" w:hanging="720"/>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lastRenderedPageBreak/>
        <w:t>[8</w:t>
      </w:r>
      <w:r w:rsidR="00C01C71">
        <w:rPr>
          <w:rFonts w:ascii="Arial" w:eastAsia="Times New Roman" w:hAnsi="Arial" w:cs="Arial"/>
          <w:sz w:val="24"/>
          <w:szCs w:val="24"/>
          <w:lang w:val="en-GB" w:eastAsia="en-GB"/>
        </w:rPr>
        <w:t>]</w:t>
      </w:r>
      <w:r w:rsidR="00C01C71">
        <w:rPr>
          <w:rFonts w:ascii="Arial" w:eastAsia="Times New Roman" w:hAnsi="Arial" w:cs="Arial"/>
          <w:sz w:val="24"/>
          <w:szCs w:val="24"/>
          <w:lang w:val="en-GB" w:eastAsia="en-GB"/>
        </w:rPr>
        <w:tab/>
      </w:r>
      <w:r w:rsidR="00396FD5">
        <w:rPr>
          <w:rFonts w:ascii="Arial" w:eastAsia="Times New Roman" w:hAnsi="Arial" w:cs="Arial"/>
          <w:sz w:val="24"/>
          <w:szCs w:val="24"/>
          <w:lang w:val="en-GB" w:eastAsia="en-GB"/>
        </w:rPr>
        <w:t xml:space="preserve">It warrants mention for present purposes that </w:t>
      </w:r>
      <w:r w:rsidR="009D30DD">
        <w:rPr>
          <w:rFonts w:ascii="Arial" w:eastAsia="Times New Roman" w:hAnsi="Arial" w:cs="Arial"/>
          <w:sz w:val="24"/>
          <w:szCs w:val="24"/>
          <w:lang w:val="en-GB" w:eastAsia="en-GB"/>
        </w:rPr>
        <w:t>each of the employers</w:t>
      </w:r>
      <w:r w:rsidR="000979FF">
        <w:rPr>
          <w:rFonts w:ascii="Arial" w:eastAsia="Times New Roman" w:hAnsi="Arial" w:cs="Arial"/>
          <w:sz w:val="24"/>
          <w:szCs w:val="24"/>
          <w:lang w:val="en-GB" w:eastAsia="en-GB"/>
        </w:rPr>
        <w:t xml:space="preserve"> represented by the Chamber filed supporting affidavits, in which they depos</w:t>
      </w:r>
      <w:r w:rsidR="009D30DD">
        <w:rPr>
          <w:rFonts w:ascii="Arial" w:eastAsia="Times New Roman" w:hAnsi="Arial" w:cs="Arial"/>
          <w:sz w:val="24"/>
          <w:szCs w:val="24"/>
          <w:lang w:val="en-GB" w:eastAsia="en-GB"/>
        </w:rPr>
        <w:t>ed to facts in</w:t>
      </w:r>
      <w:r w:rsidR="000979FF">
        <w:rPr>
          <w:rFonts w:ascii="Arial" w:eastAsia="Times New Roman" w:hAnsi="Arial" w:cs="Arial"/>
          <w:sz w:val="24"/>
          <w:szCs w:val="24"/>
          <w:lang w:val="en-GB" w:eastAsia="en-GB"/>
        </w:rPr>
        <w:t xml:space="preserve"> support </w:t>
      </w:r>
      <w:r w:rsidR="009D30DD">
        <w:rPr>
          <w:rFonts w:ascii="Arial" w:eastAsia="Times New Roman" w:hAnsi="Arial" w:cs="Arial"/>
          <w:sz w:val="24"/>
          <w:szCs w:val="24"/>
          <w:lang w:val="en-GB" w:eastAsia="en-GB"/>
        </w:rPr>
        <w:t xml:space="preserve">of </w:t>
      </w:r>
      <w:r w:rsidR="000979FF">
        <w:rPr>
          <w:rFonts w:ascii="Arial" w:eastAsia="Times New Roman" w:hAnsi="Arial" w:cs="Arial"/>
          <w:sz w:val="24"/>
          <w:szCs w:val="24"/>
          <w:lang w:val="en-GB" w:eastAsia="en-GB"/>
        </w:rPr>
        <w:t>the contention that each of their various mines or operations constitute a single workplace for the purposes of s 23 (1) (d). The picture that emerges from the affidavi</w:t>
      </w:r>
      <w:r w:rsidR="004870B0">
        <w:rPr>
          <w:rFonts w:ascii="Arial" w:eastAsia="Times New Roman" w:hAnsi="Arial" w:cs="Arial"/>
          <w:sz w:val="24"/>
          <w:szCs w:val="24"/>
          <w:lang w:val="en-GB" w:eastAsia="en-GB"/>
        </w:rPr>
        <w:t>ts is that each of the employers</w:t>
      </w:r>
      <w:r w:rsidR="000979FF">
        <w:rPr>
          <w:rFonts w:ascii="Arial" w:eastAsia="Times New Roman" w:hAnsi="Arial" w:cs="Arial"/>
          <w:sz w:val="24"/>
          <w:szCs w:val="24"/>
          <w:lang w:val="en-GB" w:eastAsia="en-GB"/>
        </w:rPr>
        <w:t xml:space="preserve"> has various mining operations, all of which are involved in the production of gold. Mining licences</w:t>
      </w:r>
      <w:r w:rsidR="004C4008">
        <w:rPr>
          <w:rFonts w:ascii="Arial" w:eastAsia="Times New Roman" w:hAnsi="Arial" w:cs="Arial"/>
          <w:sz w:val="24"/>
          <w:szCs w:val="24"/>
          <w:lang w:val="en-GB" w:eastAsia="en-GB"/>
        </w:rPr>
        <w:t xml:space="preserve"> are</w:t>
      </w:r>
      <w:r w:rsidR="000979FF">
        <w:rPr>
          <w:rFonts w:ascii="Arial" w:eastAsia="Times New Roman" w:hAnsi="Arial" w:cs="Arial"/>
          <w:sz w:val="24"/>
          <w:szCs w:val="24"/>
          <w:lang w:val="en-GB" w:eastAsia="en-GB"/>
        </w:rPr>
        <w:t xml:space="preserve"> held by each company and not by the individual mines operated by them. Each company is controlled from a head office w</w:t>
      </w:r>
      <w:r w:rsidR="004C4008">
        <w:rPr>
          <w:rFonts w:ascii="Arial" w:eastAsia="Times New Roman" w:hAnsi="Arial" w:cs="Arial"/>
          <w:sz w:val="24"/>
          <w:szCs w:val="24"/>
          <w:lang w:val="en-GB" w:eastAsia="en-GB"/>
        </w:rPr>
        <w:t>h</w:t>
      </w:r>
      <w:r w:rsidR="000979FF">
        <w:rPr>
          <w:rFonts w:ascii="Arial" w:eastAsia="Times New Roman" w:hAnsi="Arial" w:cs="Arial"/>
          <w:sz w:val="24"/>
          <w:szCs w:val="24"/>
          <w:lang w:val="en-GB" w:eastAsia="en-GB"/>
        </w:rPr>
        <w:t>ere financial and production pl</w:t>
      </w:r>
      <w:r w:rsidR="004C4008">
        <w:rPr>
          <w:rFonts w:ascii="Arial" w:eastAsia="Times New Roman" w:hAnsi="Arial" w:cs="Arial"/>
          <w:sz w:val="24"/>
          <w:szCs w:val="24"/>
          <w:lang w:val="en-GB" w:eastAsia="en-GB"/>
        </w:rPr>
        <w:t>anning, including the setting of pro</w:t>
      </w:r>
      <w:r w:rsidR="000979FF">
        <w:rPr>
          <w:rFonts w:ascii="Arial" w:eastAsia="Times New Roman" w:hAnsi="Arial" w:cs="Arial"/>
          <w:sz w:val="24"/>
          <w:szCs w:val="24"/>
          <w:lang w:val="en-GB" w:eastAsia="en-GB"/>
        </w:rPr>
        <w:t xml:space="preserve">duction </w:t>
      </w:r>
      <w:r w:rsidR="0003674D">
        <w:rPr>
          <w:rFonts w:ascii="Arial" w:eastAsia="Times New Roman" w:hAnsi="Arial" w:cs="Arial"/>
          <w:sz w:val="24"/>
          <w:szCs w:val="24"/>
          <w:lang w:val="en-GB" w:eastAsia="en-GB"/>
        </w:rPr>
        <w:t>targets and staff levels, is done</w:t>
      </w:r>
      <w:r w:rsidR="000979FF">
        <w:rPr>
          <w:rFonts w:ascii="Arial" w:eastAsia="Times New Roman" w:hAnsi="Arial" w:cs="Arial"/>
          <w:sz w:val="24"/>
          <w:szCs w:val="24"/>
          <w:lang w:val="en-GB" w:eastAsia="en-GB"/>
        </w:rPr>
        <w:t xml:space="preserve">. Financial management is </w:t>
      </w:r>
      <w:r w:rsidR="0003674D">
        <w:rPr>
          <w:rFonts w:ascii="Arial" w:eastAsia="Times New Roman" w:hAnsi="Arial" w:cs="Arial"/>
          <w:sz w:val="24"/>
          <w:szCs w:val="24"/>
          <w:lang w:val="en-GB" w:eastAsia="en-GB"/>
        </w:rPr>
        <w:t xml:space="preserve">also </w:t>
      </w:r>
      <w:r w:rsidR="000979FF">
        <w:rPr>
          <w:rFonts w:ascii="Arial" w:eastAsia="Times New Roman" w:hAnsi="Arial" w:cs="Arial"/>
          <w:sz w:val="24"/>
          <w:szCs w:val="24"/>
          <w:lang w:val="en-GB" w:eastAsia="en-GB"/>
        </w:rPr>
        <w:t>dealt with centrally – this includes the management of debtors and creditors, and the receipt of incom</w:t>
      </w:r>
      <w:r w:rsidR="004C4008">
        <w:rPr>
          <w:rFonts w:ascii="Arial" w:eastAsia="Times New Roman" w:hAnsi="Arial" w:cs="Arial"/>
          <w:sz w:val="24"/>
          <w:szCs w:val="24"/>
          <w:lang w:val="en-GB" w:eastAsia="en-GB"/>
        </w:rPr>
        <w:t xml:space="preserve">e. Indeed, in the case of </w:t>
      </w:r>
      <w:r w:rsidR="00406D6A">
        <w:rPr>
          <w:rFonts w:ascii="Arial" w:eastAsia="Times New Roman" w:hAnsi="Arial" w:cs="Arial"/>
          <w:sz w:val="24"/>
          <w:szCs w:val="24"/>
          <w:lang w:val="en-GB" w:eastAsia="en-GB"/>
        </w:rPr>
        <w:t>Harmony</w:t>
      </w:r>
      <w:r w:rsidR="000979FF">
        <w:rPr>
          <w:rFonts w:ascii="Arial" w:eastAsia="Times New Roman" w:hAnsi="Arial" w:cs="Arial"/>
          <w:sz w:val="24"/>
          <w:szCs w:val="24"/>
          <w:lang w:val="en-GB" w:eastAsia="en-GB"/>
        </w:rPr>
        <w:t>, individual mines</w:t>
      </w:r>
      <w:r w:rsidR="00406D6A">
        <w:rPr>
          <w:rFonts w:ascii="Arial" w:eastAsia="Times New Roman" w:hAnsi="Arial" w:cs="Arial"/>
          <w:sz w:val="24"/>
          <w:szCs w:val="24"/>
          <w:lang w:val="en-GB" w:eastAsia="en-GB"/>
        </w:rPr>
        <w:t xml:space="preserve"> do</w:t>
      </w:r>
      <w:r w:rsidR="000979FF">
        <w:rPr>
          <w:rFonts w:ascii="Arial" w:eastAsia="Times New Roman" w:hAnsi="Arial" w:cs="Arial"/>
          <w:sz w:val="24"/>
          <w:szCs w:val="24"/>
          <w:lang w:val="en-GB" w:eastAsia="en-GB"/>
        </w:rPr>
        <w:t xml:space="preserve"> not operate their own ban</w:t>
      </w:r>
      <w:r w:rsidR="00406D6A">
        <w:rPr>
          <w:rFonts w:ascii="Arial" w:eastAsia="Times New Roman" w:hAnsi="Arial" w:cs="Arial"/>
          <w:sz w:val="24"/>
          <w:szCs w:val="24"/>
          <w:lang w:val="en-GB" w:eastAsia="en-GB"/>
        </w:rPr>
        <w:t>k accounts; all operating expenses are paid by Harmony</w:t>
      </w:r>
      <w:r w:rsidR="0003674D">
        <w:rPr>
          <w:rFonts w:ascii="Arial" w:eastAsia="Times New Roman" w:hAnsi="Arial" w:cs="Arial"/>
          <w:sz w:val="24"/>
          <w:szCs w:val="24"/>
          <w:lang w:val="en-GB" w:eastAsia="en-GB"/>
        </w:rPr>
        <w:t xml:space="preserve"> from a central account</w:t>
      </w:r>
      <w:r w:rsidR="00406D6A">
        <w:rPr>
          <w:rFonts w:ascii="Arial" w:eastAsia="Times New Roman" w:hAnsi="Arial" w:cs="Arial"/>
          <w:sz w:val="24"/>
          <w:szCs w:val="24"/>
          <w:lang w:val="en-GB" w:eastAsia="en-GB"/>
        </w:rPr>
        <w:t>.</w:t>
      </w:r>
      <w:r w:rsidR="00E9456A">
        <w:rPr>
          <w:rFonts w:ascii="Arial" w:eastAsia="Times New Roman" w:hAnsi="Arial" w:cs="Arial"/>
          <w:sz w:val="24"/>
          <w:szCs w:val="24"/>
          <w:lang w:val="en-GB" w:eastAsia="en-GB"/>
        </w:rPr>
        <w:t xml:space="preserve"> In each case, centralised</w:t>
      </w:r>
      <w:r w:rsidR="009D194F">
        <w:rPr>
          <w:rFonts w:ascii="Arial" w:eastAsia="Times New Roman" w:hAnsi="Arial" w:cs="Arial"/>
          <w:sz w:val="24"/>
          <w:szCs w:val="24"/>
          <w:lang w:val="en-GB" w:eastAsia="en-GB"/>
        </w:rPr>
        <w:t xml:space="preserve"> support services are provided to the </w:t>
      </w:r>
      <w:r w:rsidR="00406D6A">
        <w:rPr>
          <w:rFonts w:ascii="Arial" w:eastAsia="Times New Roman" w:hAnsi="Arial" w:cs="Arial"/>
          <w:sz w:val="24"/>
          <w:szCs w:val="24"/>
          <w:lang w:val="en-GB" w:eastAsia="en-GB"/>
        </w:rPr>
        <w:t>mines</w:t>
      </w:r>
      <w:r w:rsidR="0003674D">
        <w:rPr>
          <w:rFonts w:ascii="Arial" w:eastAsia="Times New Roman" w:hAnsi="Arial" w:cs="Arial"/>
          <w:sz w:val="24"/>
          <w:szCs w:val="24"/>
          <w:lang w:val="en-GB" w:eastAsia="en-GB"/>
        </w:rPr>
        <w:t>’</w:t>
      </w:r>
      <w:r w:rsidR="00406D6A">
        <w:rPr>
          <w:rFonts w:ascii="Arial" w:eastAsia="Times New Roman" w:hAnsi="Arial" w:cs="Arial"/>
          <w:sz w:val="24"/>
          <w:szCs w:val="24"/>
          <w:lang w:val="en-GB" w:eastAsia="en-GB"/>
        </w:rPr>
        <w:t xml:space="preserve"> </w:t>
      </w:r>
      <w:r w:rsidR="009D194F">
        <w:rPr>
          <w:rFonts w:ascii="Arial" w:eastAsia="Times New Roman" w:hAnsi="Arial" w:cs="Arial"/>
          <w:sz w:val="24"/>
          <w:szCs w:val="24"/>
          <w:lang w:val="en-GB" w:eastAsia="en-GB"/>
        </w:rPr>
        <w:t>operations, for example, in respect of human r</w:t>
      </w:r>
      <w:r w:rsidR="00406D6A">
        <w:rPr>
          <w:rFonts w:ascii="Arial" w:eastAsia="Times New Roman" w:hAnsi="Arial" w:cs="Arial"/>
          <w:sz w:val="24"/>
          <w:szCs w:val="24"/>
          <w:lang w:val="en-GB" w:eastAsia="en-GB"/>
        </w:rPr>
        <w:t>esources and IT systems. Procurement</w:t>
      </w:r>
      <w:r w:rsidR="002052AA">
        <w:rPr>
          <w:rFonts w:ascii="Arial" w:eastAsia="Times New Roman" w:hAnsi="Arial" w:cs="Arial"/>
          <w:sz w:val="24"/>
          <w:szCs w:val="24"/>
          <w:lang w:val="en-GB" w:eastAsia="en-GB"/>
        </w:rPr>
        <w:t xml:space="preserve"> is managed centrally. Each mine</w:t>
      </w:r>
      <w:r w:rsidR="0003674D">
        <w:rPr>
          <w:rFonts w:ascii="Arial" w:eastAsia="Times New Roman" w:hAnsi="Arial" w:cs="Arial"/>
          <w:sz w:val="24"/>
          <w:szCs w:val="24"/>
          <w:lang w:val="en-GB" w:eastAsia="en-GB"/>
        </w:rPr>
        <w:t xml:space="preserve"> is run by a</w:t>
      </w:r>
      <w:r w:rsidR="009D194F">
        <w:rPr>
          <w:rFonts w:ascii="Arial" w:eastAsia="Times New Roman" w:hAnsi="Arial" w:cs="Arial"/>
          <w:sz w:val="24"/>
          <w:szCs w:val="24"/>
          <w:lang w:val="en-GB" w:eastAsia="en-GB"/>
        </w:rPr>
        <w:t xml:space="preserve"> manager who reports directly to the head office concerned, subject to an overarching set of policies and controls. Operating procedures, mining methodologies</w:t>
      </w:r>
      <w:r w:rsidR="00E9456A">
        <w:rPr>
          <w:rFonts w:ascii="Arial" w:eastAsia="Times New Roman" w:hAnsi="Arial" w:cs="Arial"/>
          <w:sz w:val="24"/>
          <w:szCs w:val="24"/>
          <w:lang w:val="en-GB" w:eastAsia="en-GB"/>
        </w:rPr>
        <w:t xml:space="preserve"> and</w:t>
      </w:r>
      <w:r w:rsidR="009D194F">
        <w:rPr>
          <w:rFonts w:ascii="Arial" w:eastAsia="Times New Roman" w:hAnsi="Arial" w:cs="Arial"/>
          <w:sz w:val="24"/>
          <w:szCs w:val="24"/>
          <w:lang w:val="en-GB" w:eastAsia="en-GB"/>
        </w:rPr>
        <w:t xml:space="preserve"> plant processes are standardised across each company. Security systems and IT sys</w:t>
      </w:r>
      <w:r w:rsidR="00406D6A">
        <w:rPr>
          <w:rFonts w:ascii="Arial" w:eastAsia="Times New Roman" w:hAnsi="Arial" w:cs="Arial"/>
          <w:sz w:val="24"/>
          <w:szCs w:val="24"/>
          <w:lang w:val="en-GB" w:eastAsia="en-GB"/>
        </w:rPr>
        <w:t>tems are standardised. Al</w:t>
      </w:r>
      <w:r w:rsidR="009D194F">
        <w:rPr>
          <w:rFonts w:ascii="Arial" w:eastAsia="Times New Roman" w:hAnsi="Arial" w:cs="Arial"/>
          <w:sz w:val="24"/>
          <w:szCs w:val="24"/>
          <w:lang w:val="en-GB" w:eastAsia="en-GB"/>
        </w:rPr>
        <w:t>l assets are owned by the company, with movable assets b</w:t>
      </w:r>
      <w:r w:rsidR="00406D6A">
        <w:rPr>
          <w:rFonts w:ascii="Arial" w:eastAsia="Times New Roman" w:hAnsi="Arial" w:cs="Arial"/>
          <w:sz w:val="24"/>
          <w:szCs w:val="24"/>
          <w:lang w:val="en-GB" w:eastAsia="en-GB"/>
        </w:rPr>
        <w:t>eing transferred between mines</w:t>
      </w:r>
      <w:r w:rsidR="009D194F">
        <w:rPr>
          <w:rFonts w:ascii="Arial" w:eastAsia="Times New Roman" w:hAnsi="Arial" w:cs="Arial"/>
          <w:sz w:val="24"/>
          <w:szCs w:val="24"/>
          <w:lang w:val="en-GB" w:eastAsia="en-GB"/>
        </w:rPr>
        <w:t>. All gold product</w:t>
      </w:r>
      <w:r w:rsidR="00406D6A">
        <w:rPr>
          <w:rFonts w:ascii="Arial" w:eastAsia="Times New Roman" w:hAnsi="Arial" w:cs="Arial"/>
          <w:sz w:val="24"/>
          <w:szCs w:val="24"/>
          <w:lang w:val="en-GB" w:eastAsia="en-GB"/>
        </w:rPr>
        <w:t>ion is sold to Rand R</w:t>
      </w:r>
      <w:r w:rsidR="009D194F">
        <w:rPr>
          <w:rFonts w:ascii="Arial" w:eastAsia="Times New Roman" w:hAnsi="Arial" w:cs="Arial"/>
          <w:sz w:val="24"/>
          <w:szCs w:val="24"/>
          <w:lang w:val="en-GB" w:eastAsia="en-GB"/>
        </w:rPr>
        <w:t>efinery on a total production basis (i.e. n</w:t>
      </w:r>
      <w:r w:rsidR="00406D6A">
        <w:rPr>
          <w:rFonts w:ascii="Arial" w:eastAsia="Times New Roman" w:hAnsi="Arial" w:cs="Arial"/>
          <w:sz w:val="24"/>
          <w:szCs w:val="24"/>
          <w:lang w:val="en-GB" w:eastAsia="en-GB"/>
        </w:rPr>
        <w:t>ot by</w:t>
      </w:r>
      <w:r w:rsidR="00E9456A">
        <w:rPr>
          <w:rFonts w:ascii="Arial" w:eastAsia="Times New Roman" w:hAnsi="Arial" w:cs="Arial"/>
          <w:sz w:val="24"/>
          <w:szCs w:val="24"/>
          <w:lang w:val="en-GB" w:eastAsia="en-GB"/>
        </w:rPr>
        <w:t xml:space="preserve"> mine). Rec</w:t>
      </w:r>
      <w:r w:rsidR="00406D6A">
        <w:rPr>
          <w:rFonts w:ascii="Arial" w:eastAsia="Times New Roman" w:hAnsi="Arial" w:cs="Arial"/>
          <w:sz w:val="24"/>
          <w:szCs w:val="24"/>
          <w:lang w:val="en-GB" w:eastAsia="en-GB"/>
        </w:rPr>
        <w:t xml:space="preserve">ruitment is managed centrally. The entity that comprises the employer in each instance is the company, not the </w:t>
      </w:r>
      <w:r w:rsidR="009D30DD">
        <w:rPr>
          <w:rFonts w:ascii="Arial" w:eastAsia="Times New Roman" w:hAnsi="Arial" w:cs="Arial"/>
          <w:sz w:val="24"/>
          <w:szCs w:val="24"/>
          <w:lang w:val="en-GB" w:eastAsia="en-GB"/>
        </w:rPr>
        <w:t xml:space="preserve">individual </w:t>
      </w:r>
      <w:r w:rsidR="00406D6A">
        <w:rPr>
          <w:rFonts w:ascii="Arial" w:eastAsia="Times New Roman" w:hAnsi="Arial" w:cs="Arial"/>
          <w:sz w:val="24"/>
          <w:szCs w:val="24"/>
          <w:lang w:val="en-GB" w:eastAsia="en-GB"/>
        </w:rPr>
        <w:t>mine or operation. Employees</w:t>
      </w:r>
      <w:r w:rsidR="009D194F">
        <w:rPr>
          <w:rFonts w:ascii="Arial" w:eastAsia="Times New Roman" w:hAnsi="Arial" w:cs="Arial"/>
          <w:sz w:val="24"/>
          <w:szCs w:val="24"/>
          <w:lang w:val="en-GB" w:eastAsia="en-GB"/>
        </w:rPr>
        <w:t xml:space="preserve"> may be transfer</w:t>
      </w:r>
      <w:r w:rsidR="0003674D">
        <w:rPr>
          <w:rFonts w:ascii="Arial" w:eastAsia="Times New Roman" w:hAnsi="Arial" w:cs="Arial"/>
          <w:sz w:val="24"/>
          <w:szCs w:val="24"/>
          <w:lang w:val="en-GB" w:eastAsia="en-GB"/>
        </w:rPr>
        <w:t>red between operations,</w:t>
      </w:r>
      <w:r w:rsidR="009D194F">
        <w:rPr>
          <w:rFonts w:ascii="Arial" w:eastAsia="Times New Roman" w:hAnsi="Arial" w:cs="Arial"/>
          <w:sz w:val="24"/>
          <w:szCs w:val="24"/>
          <w:lang w:val="en-GB" w:eastAsia="en-GB"/>
        </w:rPr>
        <w:t xml:space="preserve"> remuneration is managed centrally, </w:t>
      </w:r>
      <w:r w:rsidR="00406D6A">
        <w:rPr>
          <w:rFonts w:ascii="Arial" w:eastAsia="Times New Roman" w:hAnsi="Arial" w:cs="Arial"/>
          <w:sz w:val="24"/>
          <w:szCs w:val="24"/>
          <w:lang w:val="en-GB" w:eastAsia="en-GB"/>
        </w:rPr>
        <w:t xml:space="preserve">and </w:t>
      </w:r>
      <w:r w:rsidR="009D194F">
        <w:rPr>
          <w:rFonts w:ascii="Arial" w:eastAsia="Times New Roman" w:hAnsi="Arial" w:cs="Arial"/>
          <w:sz w:val="24"/>
          <w:szCs w:val="24"/>
          <w:lang w:val="en-GB" w:eastAsia="en-GB"/>
        </w:rPr>
        <w:t>human resource poli</w:t>
      </w:r>
      <w:r w:rsidR="0003674D">
        <w:rPr>
          <w:rFonts w:ascii="Arial" w:eastAsia="Times New Roman" w:hAnsi="Arial" w:cs="Arial"/>
          <w:sz w:val="24"/>
          <w:szCs w:val="24"/>
          <w:lang w:val="en-GB" w:eastAsia="en-GB"/>
        </w:rPr>
        <w:t>cies are standardised across each</w:t>
      </w:r>
      <w:r w:rsidR="009D194F">
        <w:rPr>
          <w:rFonts w:ascii="Arial" w:eastAsia="Times New Roman" w:hAnsi="Arial" w:cs="Arial"/>
          <w:sz w:val="24"/>
          <w:szCs w:val="24"/>
          <w:lang w:val="en-GB" w:eastAsia="en-GB"/>
        </w:rPr>
        <w:t xml:space="preserve"> company</w:t>
      </w:r>
      <w:r w:rsidR="002052AA">
        <w:rPr>
          <w:rFonts w:ascii="Arial" w:eastAsia="Times New Roman" w:hAnsi="Arial" w:cs="Arial"/>
          <w:sz w:val="24"/>
          <w:szCs w:val="24"/>
          <w:lang w:val="en-GB" w:eastAsia="en-GB"/>
        </w:rPr>
        <w:t>.</w:t>
      </w:r>
      <w:r w:rsidR="0003674D">
        <w:rPr>
          <w:rFonts w:ascii="Arial" w:eastAsia="Times New Roman" w:hAnsi="Arial" w:cs="Arial"/>
          <w:sz w:val="24"/>
          <w:szCs w:val="24"/>
          <w:lang w:val="en-GB" w:eastAsia="en-GB"/>
        </w:rPr>
        <w:t xml:space="preserve"> As I have mentioned, c</w:t>
      </w:r>
      <w:r w:rsidR="009D194F">
        <w:rPr>
          <w:rFonts w:ascii="Arial" w:eastAsia="Times New Roman" w:hAnsi="Arial" w:cs="Arial"/>
          <w:sz w:val="24"/>
          <w:szCs w:val="24"/>
          <w:lang w:val="en-GB" w:eastAsia="en-GB"/>
        </w:rPr>
        <w:t>ollecti</w:t>
      </w:r>
      <w:r w:rsidR="009D30DD">
        <w:rPr>
          <w:rFonts w:ascii="Arial" w:eastAsia="Times New Roman" w:hAnsi="Arial" w:cs="Arial"/>
          <w:sz w:val="24"/>
          <w:szCs w:val="24"/>
          <w:lang w:val="en-GB" w:eastAsia="en-GB"/>
        </w:rPr>
        <w:t xml:space="preserve">ve bargaining </w:t>
      </w:r>
      <w:r w:rsidR="004870B0">
        <w:rPr>
          <w:rFonts w:ascii="Arial" w:eastAsia="Times New Roman" w:hAnsi="Arial" w:cs="Arial"/>
          <w:sz w:val="24"/>
          <w:szCs w:val="24"/>
          <w:lang w:val="en-GB" w:eastAsia="en-GB"/>
        </w:rPr>
        <w:t xml:space="preserve">on substantive conditions </w:t>
      </w:r>
      <w:r w:rsidR="009D30DD">
        <w:rPr>
          <w:rFonts w:ascii="Arial" w:eastAsia="Times New Roman" w:hAnsi="Arial" w:cs="Arial"/>
          <w:sz w:val="24"/>
          <w:szCs w:val="24"/>
          <w:lang w:val="en-GB" w:eastAsia="en-GB"/>
        </w:rPr>
        <w:t>takes place at a</w:t>
      </w:r>
      <w:r w:rsidR="009D194F">
        <w:rPr>
          <w:rFonts w:ascii="Arial" w:eastAsia="Times New Roman" w:hAnsi="Arial" w:cs="Arial"/>
          <w:sz w:val="24"/>
          <w:szCs w:val="24"/>
          <w:lang w:val="en-GB" w:eastAsia="en-GB"/>
        </w:rPr>
        <w:t xml:space="preserve"> centralised level, with limited bargaining (typically over w</w:t>
      </w:r>
      <w:r w:rsidR="00E9456A">
        <w:rPr>
          <w:rFonts w:ascii="Arial" w:eastAsia="Times New Roman" w:hAnsi="Arial" w:cs="Arial"/>
          <w:sz w:val="24"/>
          <w:szCs w:val="24"/>
          <w:lang w:val="en-GB" w:eastAsia="en-GB"/>
        </w:rPr>
        <w:t>ork practices) occurring at mine</w:t>
      </w:r>
      <w:r w:rsidR="009D194F">
        <w:rPr>
          <w:rFonts w:ascii="Arial" w:eastAsia="Times New Roman" w:hAnsi="Arial" w:cs="Arial"/>
          <w:sz w:val="24"/>
          <w:szCs w:val="24"/>
          <w:lang w:val="en-GB" w:eastAsia="en-GB"/>
        </w:rPr>
        <w:t xml:space="preserve"> level.</w:t>
      </w:r>
    </w:p>
    <w:p w:rsidR="00AE037B" w:rsidRDefault="00406D6A" w:rsidP="00A826E5">
      <w:pPr>
        <w:spacing w:line="360" w:lineRule="auto"/>
        <w:ind w:left="720" w:hanging="720"/>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w:t>
      </w:r>
      <w:r w:rsidR="0049189C">
        <w:rPr>
          <w:rFonts w:ascii="Arial" w:eastAsia="Times New Roman" w:hAnsi="Arial" w:cs="Arial"/>
          <w:sz w:val="24"/>
          <w:szCs w:val="24"/>
          <w:lang w:val="en-GB" w:eastAsia="en-GB"/>
        </w:rPr>
        <w:t>9</w:t>
      </w:r>
      <w:r w:rsidR="005046EB">
        <w:rPr>
          <w:rFonts w:ascii="Arial" w:eastAsia="Times New Roman" w:hAnsi="Arial" w:cs="Arial"/>
          <w:sz w:val="24"/>
          <w:szCs w:val="24"/>
          <w:lang w:val="en-GB" w:eastAsia="en-GB"/>
        </w:rPr>
        <w:t>]</w:t>
      </w:r>
      <w:r w:rsidR="005046EB">
        <w:rPr>
          <w:rFonts w:ascii="Arial" w:eastAsia="Times New Roman" w:hAnsi="Arial" w:cs="Arial"/>
          <w:sz w:val="24"/>
          <w:szCs w:val="24"/>
          <w:lang w:val="en-GB" w:eastAsia="en-GB"/>
        </w:rPr>
        <w:tab/>
      </w:r>
      <w:r w:rsidR="009D194F">
        <w:rPr>
          <w:rFonts w:ascii="Arial" w:eastAsia="Times New Roman" w:hAnsi="Arial" w:cs="Arial"/>
          <w:sz w:val="24"/>
          <w:szCs w:val="24"/>
          <w:lang w:val="en-GB" w:eastAsia="en-GB"/>
        </w:rPr>
        <w:t>AMCU</w:t>
      </w:r>
      <w:r>
        <w:rPr>
          <w:rFonts w:ascii="Arial" w:eastAsia="Times New Roman" w:hAnsi="Arial" w:cs="Arial"/>
          <w:sz w:val="24"/>
          <w:szCs w:val="24"/>
          <w:lang w:val="en-GB" w:eastAsia="en-GB"/>
        </w:rPr>
        <w:t xml:space="preserve"> </w:t>
      </w:r>
      <w:r w:rsidR="005046EB">
        <w:rPr>
          <w:rFonts w:ascii="Arial" w:eastAsia="Times New Roman" w:hAnsi="Arial" w:cs="Arial"/>
          <w:sz w:val="24"/>
          <w:szCs w:val="24"/>
          <w:lang w:val="en-GB" w:eastAsia="en-GB"/>
        </w:rPr>
        <w:t>has failed</w:t>
      </w:r>
      <w:r>
        <w:rPr>
          <w:rFonts w:ascii="Arial" w:eastAsia="Times New Roman" w:hAnsi="Arial" w:cs="Arial"/>
          <w:sz w:val="24"/>
          <w:szCs w:val="24"/>
          <w:lang w:val="en-GB" w:eastAsia="en-GB"/>
        </w:rPr>
        <w:t xml:space="preserve"> to engage with the detailed factual averments recorded in the supporting affidavits</w:t>
      </w:r>
      <w:r w:rsidR="00E9456A">
        <w:rPr>
          <w:rFonts w:ascii="Arial" w:eastAsia="Times New Roman" w:hAnsi="Arial" w:cs="Arial"/>
          <w:sz w:val="24"/>
          <w:szCs w:val="24"/>
          <w:lang w:val="en-GB" w:eastAsia="en-GB"/>
        </w:rPr>
        <w:t xml:space="preserve">. </w:t>
      </w:r>
      <w:r w:rsidR="005046EB">
        <w:rPr>
          <w:rFonts w:ascii="Arial" w:eastAsia="Times New Roman" w:hAnsi="Arial" w:cs="Arial"/>
          <w:sz w:val="24"/>
          <w:szCs w:val="24"/>
          <w:lang w:val="en-GB" w:eastAsia="en-GB"/>
        </w:rPr>
        <w:t xml:space="preserve">In its answering affidavit, </w:t>
      </w:r>
      <w:r w:rsidR="00E9456A">
        <w:rPr>
          <w:rFonts w:ascii="Arial" w:eastAsia="Times New Roman" w:hAnsi="Arial" w:cs="Arial"/>
          <w:sz w:val="24"/>
          <w:szCs w:val="24"/>
          <w:lang w:val="en-GB" w:eastAsia="en-GB"/>
        </w:rPr>
        <w:t>AMCU states</w:t>
      </w:r>
      <w:r>
        <w:rPr>
          <w:rFonts w:ascii="Arial" w:eastAsia="Times New Roman" w:hAnsi="Arial" w:cs="Arial"/>
          <w:sz w:val="24"/>
          <w:szCs w:val="24"/>
          <w:lang w:val="en-GB" w:eastAsia="en-GB"/>
        </w:rPr>
        <w:t xml:space="preserve"> only</w:t>
      </w:r>
      <w:r w:rsidR="00E9456A">
        <w:rPr>
          <w:rFonts w:ascii="Arial" w:eastAsia="Times New Roman" w:hAnsi="Arial" w:cs="Arial"/>
          <w:sz w:val="24"/>
          <w:szCs w:val="24"/>
          <w:lang w:val="en-GB" w:eastAsia="en-GB"/>
        </w:rPr>
        <w:t xml:space="preserve">, in bald terms, that a purposive interpretation of the LRA requires each mine to be treated as a </w:t>
      </w:r>
      <w:r w:rsidR="00E9456A">
        <w:rPr>
          <w:rFonts w:ascii="Arial" w:eastAsia="Times New Roman" w:hAnsi="Arial" w:cs="Arial"/>
          <w:sz w:val="24"/>
          <w:szCs w:val="24"/>
          <w:lang w:val="en-GB" w:eastAsia="en-GB"/>
        </w:rPr>
        <w:lastRenderedPageBreak/>
        <w:t xml:space="preserve">separate workplace, and that </w:t>
      </w:r>
      <w:r w:rsidR="004870B0">
        <w:rPr>
          <w:rFonts w:ascii="Arial" w:eastAsia="Times New Roman" w:hAnsi="Arial" w:cs="Arial"/>
          <w:sz w:val="24"/>
          <w:szCs w:val="24"/>
          <w:lang w:val="en-GB" w:eastAsia="en-GB"/>
        </w:rPr>
        <w:t xml:space="preserve">each of </w:t>
      </w:r>
      <w:r w:rsidR="00E9456A">
        <w:rPr>
          <w:rFonts w:ascii="Arial" w:eastAsia="Times New Roman" w:hAnsi="Arial" w:cs="Arial"/>
          <w:sz w:val="24"/>
          <w:szCs w:val="24"/>
          <w:lang w:val="en-GB" w:eastAsia="en-GB"/>
        </w:rPr>
        <w:t>the mines operate</w:t>
      </w:r>
      <w:r w:rsidR="004870B0">
        <w:rPr>
          <w:rFonts w:ascii="Arial" w:eastAsia="Times New Roman" w:hAnsi="Arial" w:cs="Arial"/>
          <w:sz w:val="24"/>
          <w:szCs w:val="24"/>
          <w:lang w:val="en-GB" w:eastAsia="en-GB"/>
        </w:rPr>
        <w:t>s</w:t>
      </w:r>
      <w:r w:rsidR="00E9456A">
        <w:rPr>
          <w:rFonts w:ascii="Arial" w:eastAsia="Times New Roman" w:hAnsi="Arial" w:cs="Arial"/>
          <w:sz w:val="24"/>
          <w:szCs w:val="24"/>
          <w:lang w:val="en-GB" w:eastAsia="en-GB"/>
        </w:rPr>
        <w:t xml:space="preserve"> independently by reason of size</w:t>
      </w:r>
      <w:r w:rsidR="00B51BB7">
        <w:rPr>
          <w:rFonts w:ascii="Arial" w:eastAsia="Times New Roman" w:hAnsi="Arial" w:cs="Arial"/>
          <w:sz w:val="24"/>
          <w:szCs w:val="24"/>
          <w:lang w:val="en-GB" w:eastAsia="en-GB"/>
        </w:rPr>
        <w:t xml:space="preserve">, </w:t>
      </w:r>
      <w:r w:rsidR="00E9456A">
        <w:rPr>
          <w:rFonts w:ascii="Arial" w:eastAsia="Times New Roman" w:hAnsi="Arial" w:cs="Arial"/>
          <w:sz w:val="24"/>
          <w:szCs w:val="24"/>
          <w:lang w:val="en-GB" w:eastAsia="en-GB"/>
        </w:rPr>
        <w:t>function</w:t>
      </w:r>
      <w:r w:rsidR="00B51BB7">
        <w:rPr>
          <w:rFonts w:ascii="Arial" w:eastAsia="Times New Roman" w:hAnsi="Arial" w:cs="Arial"/>
          <w:sz w:val="24"/>
          <w:szCs w:val="24"/>
          <w:lang w:val="en-GB" w:eastAsia="en-GB"/>
        </w:rPr>
        <w:t xml:space="preserve"> and organisation</w:t>
      </w:r>
      <w:r w:rsidR="00E9456A">
        <w:rPr>
          <w:rFonts w:ascii="Arial" w:eastAsia="Times New Roman" w:hAnsi="Arial" w:cs="Arial"/>
          <w:sz w:val="24"/>
          <w:szCs w:val="24"/>
          <w:lang w:val="en-GB" w:eastAsia="en-GB"/>
        </w:rPr>
        <w:t xml:space="preserve">. </w:t>
      </w:r>
      <w:r>
        <w:rPr>
          <w:rFonts w:ascii="Arial" w:eastAsia="Times New Roman" w:hAnsi="Arial" w:cs="Arial"/>
          <w:sz w:val="24"/>
          <w:szCs w:val="24"/>
          <w:lang w:val="en-GB" w:eastAsia="en-GB"/>
        </w:rPr>
        <w:t xml:space="preserve">To the extent that AMCU’s failure to </w:t>
      </w:r>
      <w:r w:rsidR="00B91E35">
        <w:rPr>
          <w:rFonts w:ascii="Arial" w:eastAsia="Times New Roman" w:hAnsi="Arial" w:cs="Arial"/>
          <w:sz w:val="24"/>
          <w:szCs w:val="24"/>
          <w:lang w:val="en-GB" w:eastAsia="en-GB"/>
        </w:rPr>
        <w:t>interrogate</w:t>
      </w:r>
      <w:r>
        <w:rPr>
          <w:rFonts w:ascii="Arial" w:eastAsia="Times New Roman" w:hAnsi="Arial" w:cs="Arial"/>
          <w:sz w:val="24"/>
          <w:szCs w:val="24"/>
          <w:lang w:val="en-GB" w:eastAsia="en-GB"/>
        </w:rPr>
        <w:t xml:space="preserve"> the factual averments made by the Chamber </w:t>
      </w:r>
      <w:r w:rsidR="0049189C">
        <w:rPr>
          <w:rFonts w:ascii="Arial" w:eastAsia="Times New Roman" w:hAnsi="Arial" w:cs="Arial"/>
          <w:sz w:val="24"/>
          <w:szCs w:val="24"/>
          <w:lang w:val="en-GB" w:eastAsia="en-GB"/>
        </w:rPr>
        <w:t>might</w:t>
      </w:r>
      <w:r w:rsidR="00B91E35">
        <w:rPr>
          <w:rFonts w:ascii="Arial" w:eastAsia="Times New Roman" w:hAnsi="Arial" w:cs="Arial"/>
          <w:sz w:val="24"/>
          <w:szCs w:val="24"/>
          <w:lang w:val="en-GB" w:eastAsia="en-GB"/>
        </w:rPr>
        <w:t xml:space="preserve"> be ascribed to time constraints</w:t>
      </w:r>
      <w:r w:rsidR="005046EB">
        <w:rPr>
          <w:rFonts w:ascii="Arial" w:eastAsia="Times New Roman" w:hAnsi="Arial" w:cs="Arial"/>
          <w:sz w:val="24"/>
          <w:szCs w:val="24"/>
          <w:lang w:val="en-GB" w:eastAsia="en-GB"/>
        </w:rPr>
        <w:t xml:space="preserve"> when</w:t>
      </w:r>
      <w:r w:rsidR="009D30DD">
        <w:rPr>
          <w:rFonts w:ascii="Arial" w:eastAsia="Times New Roman" w:hAnsi="Arial" w:cs="Arial"/>
          <w:sz w:val="24"/>
          <w:szCs w:val="24"/>
          <w:lang w:val="en-GB" w:eastAsia="en-GB"/>
        </w:rPr>
        <w:t xml:space="preserve"> these proceedings were initiated</w:t>
      </w:r>
      <w:r w:rsidR="00B91E35">
        <w:rPr>
          <w:rFonts w:ascii="Arial" w:eastAsia="Times New Roman" w:hAnsi="Arial" w:cs="Arial"/>
          <w:sz w:val="24"/>
          <w:szCs w:val="24"/>
          <w:lang w:val="en-GB" w:eastAsia="en-GB"/>
        </w:rPr>
        <w:t>, i</w:t>
      </w:r>
      <w:r w:rsidR="005046EB">
        <w:rPr>
          <w:rFonts w:ascii="Arial" w:eastAsia="Times New Roman" w:hAnsi="Arial" w:cs="Arial"/>
          <w:sz w:val="24"/>
          <w:szCs w:val="24"/>
          <w:lang w:val="en-GB" w:eastAsia="en-GB"/>
        </w:rPr>
        <w:t>n its</w:t>
      </w:r>
      <w:r w:rsidR="00E9456A">
        <w:rPr>
          <w:rFonts w:ascii="Arial" w:eastAsia="Times New Roman" w:hAnsi="Arial" w:cs="Arial"/>
          <w:sz w:val="24"/>
          <w:szCs w:val="24"/>
          <w:lang w:val="en-GB" w:eastAsia="en-GB"/>
        </w:rPr>
        <w:t xml:space="preserve"> supplementary answering affidavit, </w:t>
      </w:r>
      <w:r>
        <w:rPr>
          <w:rFonts w:ascii="Arial" w:eastAsia="Times New Roman" w:hAnsi="Arial" w:cs="Arial"/>
          <w:sz w:val="24"/>
          <w:szCs w:val="24"/>
          <w:lang w:val="en-GB" w:eastAsia="en-GB"/>
        </w:rPr>
        <w:t xml:space="preserve">filed some two months after the </w:t>
      </w:r>
      <w:r w:rsidR="009D30DD">
        <w:rPr>
          <w:rFonts w:ascii="Arial" w:eastAsia="Times New Roman" w:hAnsi="Arial" w:cs="Arial"/>
          <w:sz w:val="24"/>
          <w:szCs w:val="24"/>
          <w:lang w:val="en-GB" w:eastAsia="en-GB"/>
        </w:rPr>
        <w:t>interim order was granted, AMCU</w:t>
      </w:r>
      <w:r w:rsidR="00B91E35">
        <w:rPr>
          <w:rFonts w:ascii="Arial" w:eastAsia="Times New Roman" w:hAnsi="Arial" w:cs="Arial"/>
          <w:sz w:val="24"/>
          <w:szCs w:val="24"/>
          <w:lang w:val="en-GB" w:eastAsia="en-GB"/>
        </w:rPr>
        <w:t xml:space="preserve"> </w:t>
      </w:r>
      <w:r>
        <w:rPr>
          <w:rFonts w:ascii="Arial" w:eastAsia="Times New Roman" w:hAnsi="Arial" w:cs="Arial"/>
          <w:sz w:val="24"/>
          <w:szCs w:val="24"/>
          <w:lang w:val="en-GB" w:eastAsia="en-GB"/>
        </w:rPr>
        <w:t>does not deal with the</w:t>
      </w:r>
      <w:r w:rsidR="009D30DD">
        <w:rPr>
          <w:rFonts w:ascii="Arial" w:eastAsia="Times New Roman" w:hAnsi="Arial" w:cs="Arial"/>
          <w:sz w:val="24"/>
          <w:szCs w:val="24"/>
          <w:lang w:val="en-GB" w:eastAsia="en-GB"/>
        </w:rPr>
        <w:t xml:space="preserve"> above</w:t>
      </w:r>
      <w:r w:rsidR="00B91E35">
        <w:rPr>
          <w:rFonts w:ascii="Arial" w:eastAsia="Times New Roman" w:hAnsi="Arial" w:cs="Arial"/>
          <w:sz w:val="24"/>
          <w:szCs w:val="24"/>
          <w:lang w:val="en-GB" w:eastAsia="en-GB"/>
        </w:rPr>
        <w:t xml:space="preserve"> facts</w:t>
      </w:r>
      <w:r>
        <w:rPr>
          <w:rFonts w:ascii="Arial" w:eastAsia="Times New Roman" w:hAnsi="Arial" w:cs="Arial"/>
          <w:sz w:val="24"/>
          <w:szCs w:val="24"/>
          <w:lang w:val="en-GB" w:eastAsia="en-GB"/>
        </w:rPr>
        <w:t xml:space="preserve">. </w:t>
      </w:r>
    </w:p>
    <w:p w:rsidR="002D5AF0" w:rsidRDefault="0049189C" w:rsidP="00A826E5">
      <w:pPr>
        <w:spacing w:line="360" w:lineRule="auto"/>
        <w:ind w:left="720" w:hanging="720"/>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[10</w:t>
      </w:r>
      <w:r w:rsidR="00AE037B">
        <w:rPr>
          <w:rFonts w:ascii="Arial" w:eastAsia="Times New Roman" w:hAnsi="Arial" w:cs="Arial"/>
          <w:sz w:val="24"/>
          <w:szCs w:val="24"/>
          <w:lang w:val="en-GB" w:eastAsia="en-GB"/>
        </w:rPr>
        <w:t>]</w:t>
      </w:r>
      <w:r w:rsidR="00AE037B">
        <w:rPr>
          <w:rFonts w:ascii="Arial" w:eastAsia="Times New Roman" w:hAnsi="Arial" w:cs="Arial"/>
          <w:sz w:val="24"/>
          <w:szCs w:val="24"/>
          <w:lang w:val="en-GB" w:eastAsia="en-GB"/>
        </w:rPr>
        <w:tab/>
        <w:t>T</w:t>
      </w:r>
      <w:r w:rsidR="00406D6A">
        <w:rPr>
          <w:rFonts w:ascii="Arial" w:eastAsia="Times New Roman" w:hAnsi="Arial" w:cs="Arial"/>
          <w:sz w:val="24"/>
          <w:szCs w:val="24"/>
          <w:lang w:val="en-GB" w:eastAsia="en-GB"/>
        </w:rPr>
        <w:t>he supplem</w:t>
      </w:r>
      <w:r w:rsidR="005046EB">
        <w:rPr>
          <w:rFonts w:ascii="Arial" w:eastAsia="Times New Roman" w:hAnsi="Arial" w:cs="Arial"/>
          <w:sz w:val="24"/>
          <w:szCs w:val="24"/>
          <w:lang w:val="en-GB" w:eastAsia="en-GB"/>
        </w:rPr>
        <w:t>entary affidavit does no more than proffer</w:t>
      </w:r>
      <w:r w:rsidR="00406D6A">
        <w:rPr>
          <w:rFonts w:ascii="Arial" w:eastAsia="Times New Roman" w:hAnsi="Arial" w:cs="Arial"/>
          <w:sz w:val="24"/>
          <w:szCs w:val="24"/>
          <w:lang w:val="en-GB" w:eastAsia="en-GB"/>
        </w:rPr>
        <w:t xml:space="preserve"> two</w:t>
      </w:r>
      <w:r w:rsidR="00E9456A">
        <w:rPr>
          <w:rFonts w:ascii="Arial" w:eastAsia="Times New Roman" w:hAnsi="Arial" w:cs="Arial"/>
          <w:sz w:val="24"/>
          <w:szCs w:val="24"/>
          <w:lang w:val="en-GB" w:eastAsia="en-GB"/>
        </w:rPr>
        <w:t xml:space="preserve"> additional facts concerning </w:t>
      </w:r>
      <w:r w:rsidR="00406D6A">
        <w:rPr>
          <w:rFonts w:ascii="Arial" w:eastAsia="Times New Roman" w:hAnsi="Arial" w:cs="Arial"/>
          <w:sz w:val="24"/>
          <w:szCs w:val="24"/>
          <w:lang w:val="en-GB" w:eastAsia="en-GB"/>
        </w:rPr>
        <w:t>the definition of a ‘workplace’; first, the existence of recognition agreements concluded between certain mines and</w:t>
      </w:r>
      <w:r w:rsidR="00E9456A">
        <w:rPr>
          <w:rFonts w:ascii="Arial" w:eastAsia="Times New Roman" w:hAnsi="Arial" w:cs="Arial"/>
          <w:sz w:val="24"/>
          <w:szCs w:val="24"/>
          <w:lang w:val="en-GB" w:eastAsia="en-GB"/>
        </w:rPr>
        <w:t xml:space="preserve"> </w:t>
      </w:r>
      <w:r w:rsidR="00406D6A">
        <w:rPr>
          <w:rFonts w:ascii="Arial" w:eastAsia="Times New Roman" w:hAnsi="Arial" w:cs="Arial"/>
          <w:sz w:val="24"/>
          <w:szCs w:val="24"/>
          <w:lang w:val="en-GB" w:eastAsia="en-GB"/>
        </w:rPr>
        <w:t>AMCU and secondly, the existence of reports, filed by individual mines, in terms of certain regulatory requirements.</w:t>
      </w:r>
      <w:r w:rsidR="005046EB">
        <w:rPr>
          <w:rFonts w:ascii="Arial" w:eastAsia="Times New Roman" w:hAnsi="Arial" w:cs="Arial"/>
          <w:sz w:val="24"/>
          <w:szCs w:val="24"/>
          <w:lang w:val="en-GB" w:eastAsia="en-GB"/>
        </w:rPr>
        <w:t xml:space="preserve"> </w:t>
      </w:r>
      <w:r w:rsidR="00790F45">
        <w:rPr>
          <w:rFonts w:ascii="Arial" w:eastAsia="Times New Roman" w:hAnsi="Arial" w:cs="Arial"/>
          <w:sz w:val="24"/>
          <w:szCs w:val="24"/>
          <w:lang w:val="en-GB" w:eastAsia="en-GB"/>
        </w:rPr>
        <w:t xml:space="preserve">In particular, AMCU contends that the recognition agreements concluded in respect of Harmony’s Kusasalethu operation, at Sibanye’s Driefontein mine and the negotiations underway at AngloGold Ashanti’s Mponeng, Savuka and Tautona mines are destructive of the allegation that each of the employer parties operates as a single workplace, as is the fact of charter compliance reports and separate social and labour plans submitted by each of the mines operated by the employer parties. </w:t>
      </w:r>
    </w:p>
    <w:p w:rsidR="000A0847" w:rsidRDefault="0049189C" w:rsidP="00A826E5">
      <w:pPr>
        <w:spacing w:line="360" w:lineRule="auto"/>
        <w:ind w:left="720" w:hanging="720"/>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[11</w:t>
      </w:r>
      <w:r w:rsidR="00517ABC">
        <w:rPr>
          <w:rFonts w:ascii="Arial" w:eastAsia="Times New Roman" w:hAnsi="Arial" w:cs="Arial"/>
          <w:sz w:val="24"/>
          <w:szCs w:val="24"/>
          <w:lang w:val="en-GB" w:eastAsia="en-GB"/>
        </w:rPr>
        <w:t>]</w:t>
      </w:r>
      <w:r w:rsidR="00517ABC">
        <w:rPr>
          <w:rFonts w:ascii="Arial" w:eastAsia="Times New Roman" w:hAnsi="Arial" w:cs="Arial"/>
          <w:sz w:val="24"/>
          <w:szCs w:val="24"/>
          <w:lang w:val="en-GB" w:eastAsia="en-GB"/>
        </w:rPr>
        <w:tab/>
      </w:r>
      <w:r w:rsidR="00396FD5">
        <w:rPr>
          <w:rFonts w:ascii="Arial" w:eastAsia="Times New Roman" w:hAnsi="Arial" w:cs="Arial"/>
          <w:sz w:val="24"/>
          <w:szCs w:val="24"/>
          <w:lang w:val="en-GB" w:eastAsia="en-GB"/>
        </w:rPr>
        <w:t xml:space="preserve">In his judgment, </w:t>
      </w:r>
      <w:r w:rsidR="00C01C71">
        <w:rPr>
          <w:rFonts w:ascii="Arial" w:eastAsia="Times New Roman" w:hAnsi="Arial" w:cs="Arial"/>
          <w:sz w:val="24"/>
          <w:szCs w:val="24"/>
          <w:lang w:val="en-GB" w:eastAsia="en-GB"/>
        </w:rPr>
        <w:t xml:space="preserve">Cele J considered and dismissed three </w:t>
      </w:r>
      <w:r w:rsidR="00126D92">
        <w:rPr>
          <w:rFonts w:ascii="Arial" w:eastAsia="Times New Roman" w:hAnsi="Arial" w:cs="Arial"/>
          <w:sz w:val="24"/>
          <w:szCs w:val="24"/>
          <w:lang w:val="en-GB" w:eastAsia="en-GB"/>
        </w:rPr>
        <w:t>principal</w:t>
      </w:r>
      <w:r w:rsidR="00C01C71">
        <w:rPr>
          <w:rFonts w:ascii="Arial" w:eastAsia="Times New Roman" w:hAnsi="Arial" w:cs="Arial"/>
          <w:sz w:val="24"/>
          <w:szCs w:val="24"/>
          <w:lang w:val="en-GB" w:eastAsia="en-GB"/>
        </w:rPr>
        <w:t xml:space="preserve"> submission</w:t>
      </w:r>
      <w:r w:rsidR="00126D92">
        <w:rPr>
          <w:rFonts w:ascii="Arial" w:eastAsia="Times New Roman" w:hAnsi="Arial" w:cs="Arial"/>
          <w:sz w:val="24"/>
          <w:szCs w:val="24"/>
          <w:lang w:val="en-GB" w:eastAsia="en-GB"/>
        </w:rPr>
        <w:t>s</w:t>
      </w:r>
      <w:r w:rsidR="00C01C71">
        <w:rPr>
          <w:rFonts w:ascii="Arial" w:eastAsia="Times New Roman" w:hAnsi="Arial" w:cs="Arial"/>
          <w:sz w:val="24"/>
          <w:szCs w:val="24"/>
          <w:lang w:val="en-GB" w:eastAsia="en-GB"/>
        </w:rPr>
        <w:t xml:space="preserve"> made</w:t>
      </w:r>
      <w:r w:rsidR="00126D92">
        <w:rPr>
          <w:rFonts w:ascii="Arial" w:eastAsia="Times New Roman" w:hAnsi="Arial" w:cs="Arial"/>
          <w:sz w:val="24"/>
          <w:szCs w:val="24"/>
          <w:lang w:val="en-GB" w:eastAsia="en-GB"/>
        </w:rPr>
        <w:t xml:space="preserve"> on AMCU’s behalf. The first was</w:t>
      </w:r>
      <w:r w:rsidR="00C01C71">
        <w:rPr>
          <w:rFonts w:ascii="Arial" w:eastAsia="Times New Roman" w:hAnsi="Arial" w:cs="Arial"/>
          <w:sz w:val="24"/>
          <w:szCs w:val="24"/>
          <w:lang w:val="en-GB" w:eastAsia="en-GB"/>
        </w:rPr>
        <w:t xml:space="preserve"> that </w:t>
      </w:r>
      <w:r w:rsidR="00126D92">
        <w:rPr>
          <w:rFonts w:ascii="Arial" w:eastAsia="Times New Roman" w:hAnsi="Arial" w:cs="Arial"/>
          <w:sz w:val="24"/>
          <w:szCs w:val="24"/>
          <w:lang w:val="en-GB" w:eastAsia="en-GB"/>
        </w:rPr>
        <w:t xml:space="preserve">the wage agreement in substance constituted a collective agreement concluded at sectoral level, and that any extension of the agreement could only validly be effected by the minister acting in terms of s 32 of the LRA. The second was a submission </w:t>
      </w:r>
      <w:r w:rsidR="008B6695">
        <w:rPr>
          <w:rFonts w:ascii="Arial" w:eastAsia="Times New Roman" w:hAnsi="Arial" w:cs="Arial"/>
          <w:sz w:val="24"/>
          <w:szCs w:val="24"/>
          <w:lang w:val="en-GB" w:eastAsia="en-GB"/>
        </w:rPr>
        <w:t>based</w:t>
      </w:r>
      <w:r w:rsidR="00126D92">
        <w:rPr>
          <w:rFonts w:ascii="Arial" w:eastAsia="Times New Roman" w:hAnsi="Arial" w:cs="Arial"/>
          <w:sz w:val="24"/>
          <w:szCs w:val="24"/>
          <w:lang w:val="en-GB" w:eastAsia="en-GB"/>
        </w:rPr>
        <w:t xml:space="preserve"> on s 23 of t</w:t>
      </w:r>
      <w:r w:rsidR="008B6695">
        <w:rPr>
          <w:rFonts w:ascii="Arial" w:eastAsia="Times New Roman" w:hAnsi="Arial" w:cs="Arial"/>
          <w:sz w:val="24"/>
          <w:szCs w:val="24"/>
          <w:lang w:val="en-GB" w:eastAsia="en-GB"/>
        </w:rPr>
        <w:t>h</w:t>
      </w:r>
      <w:r w:rsidR="00126D92">
        <w:rPr>
          <w:rFonts w:ascii="Arial" w:eastAsia="Times New Roman" w:hAnsi="Arial" w:cs="Arial"/>
          <w:sz w:val="24"/>
          <w:szCs w:val="24"/>
          <w:lang w:val="en-GB" w:eastAsia="en-GB"/>
        </w:rPr>
        <w:t xml:space="preserve">e </w:t>
      </w:r>
      <w:r w:rsidR="008B6695">
        <w:rPr>
          <w:rFonts w:ascii="Arial" w:eastAsia="Times New Roman" w:hAnsi="Arial" w:cs="Arial"/>
          <w:sz w:val="24"/>
          <w:szCs w:val="24"/>
          <w:lang w:val="en-GB" w:eastAsia="en-GB"/>
        </w:rPr>
        <w:t>Constitution</w:t>
      </w:r>
      <w:r w:rsidR="00126D92">
        <w:rPr>
          <w:rFonts w:ascii="Arial" w:eastAsia="Times New Roman" w:hAnsi="Arial" w:cs="Arial"/>
          <w:sz w:val="24"/>
          <w:szCs w:val="24"/>
          <w:lang w:val="en-GB" w:eastAsia="en-GB"/>
        </w:rPr>
        <w:t xml:space="preserve">, to the </w:t>
      </w:r>
      <w:r w:rsidR="008B6695">
        <w:rPr>
          <w:rFonts w:ascii="Arial" w:eastAsia="Times New Roman" w:hAnsi="Arial" w:cs="Arial"/>
          <w:sz w:val="24"/>
          <w:szCs w:val="24"/>
          <w:lang w:val="en-GB" w:eastAsia="en-GB"/>
        </w:rPr>
        <w:t>effect</w:t>
      </w:r>
      <w:r w:rsidR="00126D92">
        <w:rPr>
          <w:rFonts w:ascii="Arial" w:eastAsia="Times New Roman" w:hAnsi="Arial" w:cs="Arial"/>
          <w:sz w:val="24"/>
          <w:szCs w:val="24"/>
          <w:lang w:val="en-GB" w:eastAsia="en-GB"/>
        </w:rPr>
        <w:t xml:space="preserve"> that even if the </w:t>
      </w:r>
      <w:r w:rsidR="008B6695">
        <w:rPr>
          <w:rFonts w:ascii="Arial" w:eastAsia="Times New Roman" w:hAnsi="Arial" w:cs="Arial"/>
          <w:sz w:val="24"/>
          <w:szCs w:val="24"/>
          <w:lang w:val="en-GB" w:eastAsia="en-GB"/>
        </w:rPr>
        <w:t>extension</w:t>
      </w:r>
      <w:r w:rsidR="00126D92">
        <w:rPr>
          <w:rFonts w:ascii="Arial" w:eastAsia="Times New Roman" w:hAnsi="Arial" w:cs="Arial"/>
          <w:sz w:val="24"/>
          <w:szCs w:val="24"/>
          <w:lang w:val="en-GB" w:eastAsia="en-GB"/>
        </w:rPr>
        <w:t xml:space="preserve"> of the agreement were </w:t>
      </w:r>
      <w:r w:rsidR="008B6695">
        <w:rPr>
          <w:rFonts w:ascii="Arial" w:eastAsia="Times New Roman" w:hAnsi="Arial" w:cs="Arial"/>
          <w:sz w:val="24"/>
          <w:szCs w:val="24"/>
          <w:lang w:val="en-GB" w:eastAsia="en-GB"/>
        </w:rPr>
        <w:t>permissible</w:t>
      </w:r>
      <w:r w:rsidR="00126D92">
        <w:rPr>
          <w:rFonts w:ascii="Arial" w:eastAsia="Times New Roman" w:hAnsi="Arial" w:cs="Arial"/>
          <w:sz w:val="24"/>
          <w:szCs w:val="24"/>
          <w:lang w:val="en-GB" w:eastAsia="en-GB"/>
        </w:rPr>
        <w:t xml:space="preserve"> under s 23, </w:t>
      </w:r>
      <w:r w:rsidR="00C83E76">
        <w:rPr>
          <w:rFonts w:ascii="Arial" w:eastAsia="Times New Roman" w:hAnsi="Arial" w:cs="Arial"/>
          <w:sz w:val="24"/>
          <w:szCs w:val="24"/>
          <w:lang w:val="en-GB" w:eastAsia="en-GB"/>
        </w:rPr>
        <w:t>AMCU's</w:t>
      </w:r>
      <w:r w:rsidR="00126D92">
        <w:rPr>
          <w:rFonts w:ascii="Arial" w:eastAsia="Times New Roman" w:hAnsi="Arial" w:cs="Arial"/>
          <w:sz w:val="24"/>
          <w:szCs w:val="24"/>
          <w:lang w:val="en-GB" w:eastAsia="en-GB"/>
        </w:rPr>
        <w:t xml:space="preserve"> me</w:t>
      </w:r>
      <w:r w:rsidR="008B6695">
        <w:rPr>
          <w:rFonts w:ascii="Arial" w:eastAsia="Times New Roman" w:hAnsi="Arial" w:cs="Arial"/>
          <w:sz w:val="24"/>
          <w:szCs w:val="24"/>
          <w:lang w:val="en-GB" w:eastAsia="en-GB"/>
        </w:rPr>
        <w:t>m</w:t>
      </w:r>
      <w:r w:rsidR="00396FD5">
        <w:rPr>
          <w:rFonts w:ascii="Arial" w:eastAsia="Times New Roman" w:hAnsi="Arial" w:cs="Arial"/>
          <w:sz w:val="24"/>
          <w:szCs w:val="24"/>
          <w:lang w:val="en-GB" w:eastAsia="en-GB"/>
        </w:rPr>
        <w:t>bers had a constitutional right</w:t>
      </w:r>
      <w:r w:rsidR="00126D92">
        <w:rPr>
          <w:rFonts w:ascii="Arial" w:eastAsia="Times New Roman" w:hAnsi="Arial" w:cs="Arial"/>
          <w:sz w:val="24"/>
          <w:szCs w:val="24"/>
          <w:lang w:val="en-GB" w:eastAsia="en-GB"/>
        </w:rPr>
        <w:t xml:space="preserve"> to bargain collectively and to strike. Finally, </w:t>
      </w:r>
      <w:r w:rsidR="00C83E76">
        <w:rPr>
          <w:rFonts w:ascii="Arial" w:eastAsia="Times New Roman" w:hAnsi="Arial" w:cs="Arial"/>
          <w:sz w:val="24"/>
          <w:szCs w:val="24"/>
          <w:lang w:val="en-GB" w:eastAsia="en-GB"/>
        </w:rPr>
        <w:t>AMCU</w:t>
      </w:r>
      <w:r w:rsidR="00126D92">
        <w:rPr>
          <w:rFonts w:ascii="Arial" w:eastAsia="Times New Roman" w:hAnsi="Arial" w:cs="Arial"/>
          <w:sz w:val="24"/>
          <w:szCs w:val="24"/>
          <w:lang w:val="en-GB" w:eastAsia="en-GB"/>
        </w:rPr>
        <w:t xml:space="preserve"> contested the definition of a ‘</w:t>
      </w:r>
      <w:r w:rsidR="008B6695">
        <w:rPr>
          <w:rFonts w:ascii="Arial" w:eastAsia="Times New Roman" w:hAnsi="Arial" w:cs="Arial"/>
          <w:sz w:val="24"/>
          <w:szCs w:val="24"/>
          <w:lang w:val="en-GB" w:eastAsia="en-GB"/>
        </w:rPr>
        <w:t>workplace</w:t>
      </w:r>
      <w:r w:rsidR="00126D92">
        <w:rPr>
          <w:rFonts w:ascii="Arial" w:eastAsia="Times New Roman" w:hAnsi="Arial" w:cs="Arial"/>
          <w:sz w:val="24"/>
          <w:szCs w:val="24"/>
          <w:lang w:val="en-GB" w:eastAsia="en-GB"/>
        </w:rPr>
        <w:t xml:space="preserve">’. In particular, it contended that the each of the employer parties’ mines and operations were separate workplaces for the purposes of s 23 and that it was entitled to strike, at least in respect of those mines where it </w:t>
      </w:r>
      <w:r w:rsidR="008B6695">
        <w:rPr>
          <w:rFonts w:ascii="Arial" w:eastAsia="Times New Roman" w:hAnsi="Arial" w:cs="Arial"/>
          <w:sz w:val="24"/>
          <w:szCs w:val="24"/>
          <w:lang w:val="en-GB" w:eastAsia="en-GB"/>
        </w:rPr>
        <w:t>was the majority union.</w:t>
      </w:r>
    </w:p>
    <w:p w:rsidR="000A0847" w:rsidRDefault="0049189C" w:rsidP="00A826E5">
      <w:pPr>
        <w:spacing w:line="360" w:lineRule="auto"/>
        <w:ind w:left="720" w:hanging="720"/>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lastRenderedPageBreak/>
        <w:t>[12</w:t>
      </w:r>
      <w:r w:rsidR="001D6B02">
        <w:rPr>
          <w:rFonts w:ascii="Arial" w:eastAsia="Times New Roman" w:hAnsi="Arial" w:cs="Arial"/>
          <w:sz w:val="24"/>
          <w:szCs w:val="24"/>
          <w:lang w:val="en-GB" w:eastAsia="en-GB"/>
        </w:rPr>
        <w:t>]</w:t>
      </w:r>
      <w:r w:rsidR="001D6B02">
        <w:rPr>
          <w:rFonts w:ascii="Arial" w:eastAsia="Times New Roman" w:hAnsi="Arial" w:cs="Arial"/>
          <w:sz w:val="24"/>
          <w:szCs w:val="24"/>
          <w:lang w:val="en-GB" w:eastAsia="en-GB"/>
        </w:rPr>
        <w:tab/>
        <w:t>Cele J held that s 32 applied only to collective agreements concluded under the auspices of a bargaining council; that s 23 of the Constitution did not present a bar to any extension of a collective agreement under s 23</w:t>
      </w:r>
      <w:r w:rsidR="009D30DD">
        <w:rPr>
          <w:rFonts w:ascii="Arial" w:eastAsia="Times New Roman" w:hAnsi="Arial" w:cs="Arial"/>
          <w:sz w:val="24"/>
          <w:szCs w:val="24"/>
          <w:lang w:val="en-GB" w:eastAsia="en-GB"/>
        </w:rPr>
        <w:t xml:space="preserve"> (1) (d)</w:t>
      </w:r>
      <w:r w:rsidR="001D6B02">
        <w:rPr>
          <w:rFonts w:ascii="Arial" w:eastAsia="Times New Roman" w:hAnsi="Arial" w:cs="Arial"/>
          <w:sz w:val="24"/>
          <w:szCs w:val="24"/>
          <w:lang w:val="en-GB" w:eastAsia="en-GB"/>
        </w:rPr>
        <w:t xml:space="preserve"> of the LRA; and that a ‘workplace’ for present purposes comprised the mines and operations </w:t>
      </w:r>
      <w:r w:rsidR="00396FD5">
        <w:rPr>
          <w:rFonts w:ascii="Arial" w:eastAsia="Times New Roman" w:hAnsi="Arial" w:cs="Arial"/>
          <w:sz w:val="24"/>
          <w:szCs w:val="24"/>
          <w:lang w:val="en-GB" w:eastAsia="en-GB"/>
        </w:rPr>
        <w:t>of each of the employer parties</w:t>
      </w:r>
      <w:r w:rsidR="001D6B02">
        <w:rPr>
          <w:rFonts w:ascii="Arial" w:eastAsia="Times New Roman" w:hAnsi="Arial" w:cs="Arial"/>
          <w:sz w:val="24"/>
          <w:szCs w:val="24"/>
          <w:lang w:val="en-GB" w:eastAsia="en-GB"/>
        </w:rPr>
        <w:t xml:space="preserve"> or</w:t>
      </w:r>
      <w:r w:rsidR="009D30DD">
        <w:rPr>
          <w:rFonts w:ascii="Arial" w:eastAsia="Times New Roman" w:hAnsi="Arial" w:cs="Arial"/>
          <w:sz w:val="24"/>
          <w:szCs w:val="24"/>
          <w:lang w:val="en-GB" w:eastAsia="en-GB"/>
        </w:rPr>
        <w:t xml:space="preserve">, </w:t>
      </w:r>
      <w:r w:rsidR="001D6B02">
        <w:rPr>
          <w:rFonts w:ascii="Arial" w:eastAsia="Times New Roman" w:hAnsi="Arial" w:cs="Arial"/>
          <w:sz w:val="24"/>
          <w:szCs w:val="24"/>
          <w:lang w:val="en-GB" w:eastAsia="en-GB"/>
        </w:rPr>
        <w:t xml:space="preserve"> put another way, ‘</w:t>
      </w:r>
      <w:r w:rsidR="001D6B02" w:rsidRPr="009D30DD">
        <w:rPr>
          <w:rFonts w:ascii="Arial" w:eastAsia="Times New Roman" w:hAnsi="Arial" w:cs="Arial"/>
          <w:i/>
          <w:sz w:val="24"/>
          <w:szCs w:val="24"/>
          <w:lang w:val="en-GB" w:eastAsia="en-GB"/>
        </w:rPr>
        <w:t>the wage agreement</w:t>
      </w:r>
      <w:r w:rsidR="00D74753" w:rsidRPr="009D30DD">
        <w:rPr>
          <w:rFonts w:ascii="Arial" w:eastAsia="Times New Roman" w:hAnsi="Arial" w:cs="Arial"/>
          <w:i/>
          <w:sz w:val="24"/>
          <w:szCs w:val="24"/>
          <w:lang w:val="en-GB" w:eastAsia="en-GB"/>
        </w:rPr>
        <w:t xml:space="preserve"> conta</w:t>
      </w:r>
      <w:r w:rsidR="001D6B02" w:rsidRPr="009D30DD">
        <w:rPr>
          <w:rFonts w:ascii="Arial" w:eastAsia="Times New Roman" w:hAnsi="Arial" w:cs="Arial"/>
          <w:i/>
          <w:sz w:val="24"/>
          <w:szCs w:val="24"/>
          <w:lang w:val="en-GB" w:eastAsia="en-GB"/>
        </w:rPr>
        <w:t>ins a series of section 23 (1)</w:t>
      </w:r>
      <w:r w:rsidR="00396FD5" w:rsidRPr="009D30DD">
        <w:rPr>
          <w:rFonts w:ascii="Arial" w:eastAsia="Times New Roman" w:hAnsi="Arial" w:cs="Arial"/>
          <w:i/>
          <w:sz w:val="24"/>
          <w:szCs w:val="24"/>
          <w:lang w:val="en-GB" w:eastAsia="en-GB"/>
        </w:rPr>
        <w:t xml:space="preserve"> </w:t>
      </w:r>
      <w:r w:rsidR="001D6B02" w:rsidRPr="009D30DD">
        <w:rPr>
          <w:rFonts w:ascii="Arial" w:eastAsia="Times New Roman" w:hAnsi="Arial" w:cs="Arial"/>
          <w:i/>
          <w:sz w:val="24"/>
          <w:szCs w:val="24"/>
          <w:lang w:val="en-GB" w:eastAsia="en-GB"/>
        </w:rPr>
        <w:t>(d) extensions on a per employer basis, which in my v</w:t>
      </w:r>
      <w:r w:rsidR="00D74753" w:rsidRPr="009D30DD">
        <w:rPr>
          <w:rFonts w:ascii="Arial" w:eastAsia="Times New Roman" w:hAnsi="Arial" w:cs="Arial"/>
          <w:i/>
          <w:sz w:val="24"/>
          <w:szCs w:val="24"/>
          <w:lang w:val="en-GB" w:eastAsia="en-GB"/>
        </w:rPr>
        <w:t>i</w:t>
      </w:r>
      <w:r w:rsidR="001D6B02" w:rsidRPr="009D30DD">
        <w:rPr>
          <w:rFonts w:ascii="Arial" w:eastAsia="Times New Roman" w:hAnsi="Arial" w:cs="Arial"/>
          <w:i/>
          <w:sz w:val="24"/>
          <w:szCs w:val="24"/>
          <w:lang w:val="en-GB" w:eastAsia="en-GB"/>
        </w:rPr>
        <w:t xml:space="preserve">ew, is clearly </w:t>
      </w:r>
      <w:r w:rsidR="00D74753" w:rsidRPr="009D30DD">
        <w:rPr>
          <w:rFonts w:ascii="Arial" w:eastAsia="Times New Roman" w:hAnsi="Arial" w:cs="Arial"/>
          <w:i/>
          <w:sz w:val="24"/>
          <w:szCs w:val="24"/>
          <w:lang w:val="en-GB" w:eastAsia="en-GB"/>
        </w:rPr>
        <w:t>permissible</w:t>
      </w:r>
      <w:r w:rsidR="001D6B02">
        <w:rPr>
          <w:rFonts w:ascii="Arial" w:eastAsia="Times New Roman" w:hAnsi="Arial" w:cs="Arial"/>
          <w:sz w:val="24"/>
          <w:szCs w:val="24"/>
          <w:lang w:val="en-GB" w:eastAsia="en-GB"/>
        </w:rPr>
        <w:t>’</w:t>
      </w:r>
      <w:r w:rsidR="002D5AF0">
        <w:rPr>
          <w:rFonts w:ascii="Arial" w:eastAsia="Times New Roman" w:hAnsi="Arial" w:cs="Arial"/>
          <w:sz w:val="24"/>
          <w:szCs w:val="24"/>
          <w:lang w:val="en-GB" w:eastAsia="en-GB"/>
        </w:rPr>
        <w:t>.</w:t>
      </w:r>
      <w:r w:rsidR="009D30DD">
        <w:rPr>
          <w:rStyle w:val="FootnoteReference"/>
          <w:rFonts w:ascii="Arial" w:eastAsia="Times New Roman" w:hAnsi="Arial" w:cs="Arial"/>
          <w:sz w:val="24"/>
          <w:szCs w:val="24"/>
          <w:lang w:val="en-GB" w:eastAsia="en-GB"/>
        </w:rPr>
        <w:footnoteReference w:id="4"/>
      </w:r>
      <w:r w:rsidR="001D6B02">
        <w:rPr>
          <w:rFonts w:ascii="Arial" w:eastAsia="Times New Roman" w:hAnsi="Arial" w:cs="Arial"/>
          <w:sz w:val="24"/>
          <w:szCs w:val="24"/>
          <w:lang w:val="en-GB" w:eastAsia="en-GB"/>
        </w:rPr>
        <w:t xml:space="preserve"> </w:t>
      </w:r>
      <w:r w:rsidR="00DC5098">
        <w:rPr>
          <w:rFonts w:ascii="Arial" w:eastAsia="Times New Roman" w:hAnsi="Arial" w:cs="Arial"/>
          <w:sz w:val="24"/>
          <w:szCs w:val="24"/>
          <w:lang w:val="en-GB" w:eastAsia="en-GB"/>
        </w:rPr>
        <w:t>On this basis, Cele</w:t>
      </w:r>
      <w:r w:rsidR="00396FD5">
        <w:rPr>
          <w:rFonts w:ascii="Arial" w:eastAsia="Times New Roman" w:hAnsi="Arial" w:cs="Arial"/>
          <w:sz w:val="24"/>
          <w:szCs w:val="24"/>
          <w:lang w:val="en-GB" w:eastAsia="en-GB"/>
        </w:rPr>
        <w:t xml:space="preserve"> J</w:t>
      </w:r>
      <w:r w:rsidR="00DC5098">
        <w:rPr>
          <w:rFonts w:ascii="Arial" w:eastAsia="Times New Roman" w:hAnsi="Arial" w:cs="Arial"/>
          <w:sz w:val="24"/>
          <w:szCs w:val="24"/>
          <w:lang w:val="en-GB" w:eastAsia="en-GB"/>
        </w:rPr>
        <w:t xml:space="preserve"> was satisfied that the Chamber had established a </w:t>
      </w:r>
      <w:r w:rsidR="00DC5098" w:rsidRPr="00DC5098">
        <w:rPr>
          <w:rFonts w:ascii="Arial" w:eastAsia="Times New Roman" w:hAnsi="Arial" w:cs="Arial"/>
          <w:i/>
          <w:sz w:val="24"/>
          <w:szCs w:val="24"/>
          <w:lang w:val="en-GB" w:eastAsia="en-GB"/>
        </w:rPr>
        <w:t>prima facie</w:t>
      </w:r>
      <w:r w:rsidR="00DC5098">
        <w:rPr>
          <w:rFonts w:ascii="Arial" w:eastAsia="Times New Roman" w:hAnsi="Arial" w:cs="Arial"/>
          <w:sz w:val="24"/>
          <w:szCs w:val="24"/>
          <w:lang w:val="en-GB" w:eastAsia="en-GB"/>
        </w:rPr>
        <w:t xml:space="preserve"> right to the relief that it sought, and that the other requirements for the granting of interim relief had been satisfied. </w:t>
      </w:r>
      <w:r w:rsidR="00396FD5">
        <w:rPr>
          <w:rFonts w:ascii="Arial" w:eastAsia="Times New Roman" w:hAnsi="Arial" w:cs="Arial"/>
          <w:sz w:val="24"/>
          <w:szCs w:val="24"/>
          <w:lang w:val="en-GB" w:eastAsia="en-GB"/>
        </w:rPr>
        <w:t>The effect of the order</w:t>
      </w:r>
      <w:r w:rsidR="003477ED">
        <w:rPr>
          <w:rFonts w:ascii="Arial" w:eastAsia="Times New Roman" w:hAnsi="Arial" w:cs="Arial"/>
          <w:sz w:val="24"/>
          <w:szCs w:val="24"/>
          <w:lang w:val="en-GB" w:eastAsia="en-GB"/>
        </w:rPr>
        <w:t xml:space="preserve"> was to interdict the strike action initiated by AMCU at the mines and operations owned by Harmony, AngloGold Ashanti, and Sibanye Gold</w:t>
      </w:r>
      <w:r w:rsidR="00396FD5">
        <w:rPr>
          <w:rFonts w:ascii="Arial" w:eastAsia="Times New Roman" w:hAnsi="Arial" w:cs="Arial"/>
          <w:sz w:val="24"/>
          <w:szCs w:val="24"/>
          <w:lang w:val="en-GB" w:eastAsia="en-GB"/>
        </w:rPr>
        <w:t>, pending the return date</w:t>
      </w:r>
      <w:r w:rsidR="003477ED">
        <w:rPr>
          <w:rFonts w:ascii="Arial" w:eastAsia="Times New Roman" w:hAnsi="Arial" w:cs="Arial"/>
          <w:sz w:val="24"/>
          <w:szCs w:val="24"/>
          <w:lang w:val="en-GB" w:eastAsia="en-GB"/>
        </w:rPr>
        <w:t xml:space="preserve">. </w:t>
      </w:r>
    </w:p>
    <w:p w:rsidR="003D44B3" w:rsidRPr="007C651F" w:rsidRDefault="003D44B3" w:rsidP="00A826E5">
      <w:pPr>
        <w:spacing w:line="360" w:lineRule="auto"/>
        <w:ind w:left="720" w:hanging="720"/>
        <w:jc w:val="both"/>
        <w:rPr>
          <w:rFonts w:ascii="Arial" w:eastAsia="Times New Roman" w:hAnsi="Arial" w:cs="Arial"/>
          <w:b/>
          <w:sz w:val="24"/>
          <w:szCs w:val="24"/>
          <w:u w:val="single"/>
          <w:lang w:val="en-GB" w:eastAsia="en-GB"/>
        </w:rPr>
      </w:pPr>
      <w:r w:rsidRPr="007C651F">
        <w:rPr>
          <w:rFonts w:ascii="Arial" w:eastAsia="Times New Roman" w:hAnsi="Arial" w:cs="Arial"/>
          <w:b/>
          <w:sz w:val="24"/>
          <w:szCs w:val="24"/>
          <w:u w:val="single"/>
          <w:lang w:val="en-GB" w:eastAsia="en-GB"/>
        </w:rPr>
        <w:t>The main application</w:t>
      </w:r>
    </w:p>
    <w:p w:rsidR="00517ABC" w:rsidRDefault="00A54FBE" w:rsidP="00A826E5">
      <w:pPr>
        <w:spacing w:line="360" w:lineRule="auto"/>
        <w:ind w:left="720" w:hanging="720"/>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[13</w:t>
      </w:r>
      <w:r w:rsidR="003D44B3">
        <w:rPr>
          <w:rFonts w:ascii="Arial" w:eastAsia="Times New Roman" w:hAnsi="Arial" w:cs="Arial"/>
          <w:sz w:val="24"/>
          <w:szCs w:val="24"/>
          <w:lang w:val="en-GB" w:eastAsia="en-GB"/>
        </w:rPr>
        <w:t>]</w:t>
      </w:r>
      <w:r w:rsidR="003D44B3">
        <w:rPr>
          <w:rFonts w:ascii="Arial" w:eastAsia="Times New Roman" w:hAnsi="Arial" w:cs="Arial"/>
          <w:sz w:val="24"/>
          <w:szCs w:val="24"/>
          <w:lang w:val="en-GB" w:eastAsia="en-GB"/>
        </w:rPr>
        <w:tab/>
      </w:r>
      <w:r w:rsidR="0057609E">
        <w:rPr>
          <w:rFonts w:ascii="Arial" w:eastAsia="Times New Roman" w:hAnsi="Arial" w:cs="Arial"/>
          <w:sz w:val="24"/>
          <w:szCs w:val="24"/>
          <w:lang w:val="en-GB" w:eastAsia="en-GB"/>
        </w:rPr>
        <w:t xml:space="preserve">With this background, I turn first to the main application. </w:t>
      </w:r>
      <w:r w:rsidR="003D44B3">
        <w:rPr>
          <w:rFonts w:ascii="Arial" w:eastAsia="Times New Roman" w:hAnsi="Arial" w:cs="Arial"/>
          <w:sz w:val="24"/>
          <w:szCs w:val="24"/>
          <w:lang w:val="en-GB" w:eastAsia="en-GB"/>
        </w:rPr>
        <w:t>To succeed in the main application, the Chamber must establish the requirements for the grant</w:t>
      </w:r>
      <w:r>
        <w:rPr>
          <w:rFonts w:ascii="Arial" w:eastAsia="Times New Roman" w:hAnsi="Arial" w:cs="Arial"/>
          <w:sz w:val="24"/>
          <w:szCs w:val="24"/>
          <w:lang w:val="en-GB" w:eastAsia="en-GB"/>
        </w:rPr>
        <w:t>ing</w:t>
      </w:r>
      <w:r w:rsidR="003D44B3">
        <w:rPr>
          <w:rFonts w:ascii="Arial" w:eastAsia="Times New Roman" w:hAnsi="Arial" w:cs="Arial"/>
          <w:sz w:val="24"/>
          <w:szCs w:val="24"/>
          <w:lang w:val="en-GB" w:eastAsia="en-GB"/>
        </w:rPr>
        <w:t xml:space="preserve"> of a final interdict.</w:t>
      </w:r>
      <w:r w:rsidR="000A0847">
        <w:rPr>
          <w:rFonts w:ascii="Arial" w:eastAsia="Times New Roman" w:hAnsi="Arial" w:cs="Arial"/>
          <w:sz w:val="24"/>
          <w:szCs w:val="24"/>
          <w:lang w:val="en-GB" w:eastAsia="en-GB"/>
        </w:rPr>
        <w:t xml:space="preserve"> </w:t>
      </w:r>
      <w:r w:rsidR="0057609E">
        <w:rPr>
          <w:rFonts w:ascii="Arial" w:eastAsia="Times New Roman" w:hAnsi="Arial" w:cs="Arial"/>
          <w:sz w:val="24"/>
          <w:szCs w:val="24"/>
          <w:lang w:val="en-GB" w:eastAsia="en-GB"/>
        </w:rPr>
        <w:t>These are well-established, and require the Chamber to demonstrate a clear right, an actual or threatened invasion of that right and the absence of any other suitable</w:t>
      </w:r>
      <w:r w:rsidR="009D30DD">
        <w:rPr>
          <w:rFonts w:ascii="Arial" w:eastAsia="Times New Roman" w:hAnsi="Arial" w:cs="Arial"/>
          <w:sz w:val="24"/>
          <w:szCs w:val="24"/>
          <w:lang w:val="en-GB" w:eastAsia="en-GB"/>
        </w:rPr>
        <w:t xml:space="preserve"> remedy.</w:t>
      </w:r>
      <w:r w:rsidR="009D30DD">
        <w:rPr>
          <w:rStyle w:val="FootnoteReference"/>
          <w:rFonts w:ascii="Arial" w:eastAsia="Times New Roman" w:hAnsi="Arial" w:cs="Arial"/>
          <w:sz w:val="24"/>
          <w:szCs w:val="24"/>
          <w:lang w:val="en-GB" w:eastAsia="en-GB"/>
        </w:rPr>
        <w:footnoteReference w:id="5"/>
      </w:r>
    </w:p>
    <w:p w:rsidR="003D44B3" w:rsidRDefault="00A54FBE" w:rsidP="00A826E5">
      <w:pPr>
        <w:spacing w:line="360" w:lineRule="auto"/>
        <w:ind w:left="720" w:hanging="720"/>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[14</w:t>
      </w:r>
      <w:r w:rsidR="00517ABC">
        <w:rPr>
          <w:rFonts w:ascii="Arial" w:eastAsia="Times New Roman" w:hAnsi="Arial" w:cs="Arial"/>
          <w:sz w:val="24"/>
          <w:szCs w:val="24"/>
          <w:lang w:val="en-GB" w:eastAsia="en-GB"/>
        </w:rPr>
        <w:t>]</w:t>
      </w:r>
      <w:r w:rsidR="00517ABC">
        <w:rPr>
          <w:rFonts w:ascii="Arial" w:eastAsia="Times New Roman" w:hAnsi="Arial" w:cs="Arial"/>
          <w:sz w:val="24"/>
          <w:szCs w:val="24"/>
          <w:lang w:val="en-GB" w:eastAsia="en-GB"/>
        </w:rPr>
        <w:tab/>
        <w:t>In the present proceedings</w:t>
      </w:r>
      <w:r w:rsidR="0057609E">
        <w:rPr>
          <w:rFonts w:ascii="Arial" w:eastAsia="Times New Roman" w:hAnsi="Arial" w:cs="Arial"/>
          <w:sz w:val="24"/>
          <w:szCs w:val="24"/>
          <w:lang w:val="en-GB" w:eastAsia="en-GB"/>
        </w:rPr>
        <w:t xml:space="preserve">, </w:t>
      </w:r>
      <w:r w:rsidR="00A826E5">
        <w:rPr>
          <w:rFonts w:ascii="Arial" w:eastAsia="Times New Roman" w:hAnsi="Arial" w:cs="Arial"/>
          <w:sz w:val="24"/>
          <w:szCs w:val="24"/>
          <w:lang w:val="en-GB" w:eastAsia="en-GB"/>
        </w:rPr>
        <w:t xml:space="preserve">the </w:t>
      </w:r>
      <w:r w:rsidR="009D30DD">
        <w:rPr>
          <w:rFonts w:ascii="Arial" w:eastAsia="Times New Roman" w:hAnsi="Arial" w:cs="Arial"/>
          <w:sz w:val="24"/>
          <w:szCs w:val="24"/>
          <w:lang w:val="en-GB" w:eastAsia="en-GB"/>
        </w:rPr>
        <w:t>primary issues concern</w:t>
      </w:r>
      <w:r w:rsidR="003A6BCB">
        <w:rPr>
          <w:rFonts w:ascii="Arial" w:eastAsia="Times New Roman" w:hAnsi="Arial" w:cs="Arial"/>
          <w:sz w:val="24"/>
          <w:szCs w:val="24"/>
          <w:lang w:val="en-GB" w:eastAsia="en-GB"/>
        </w:rPr>
        <w:t xml:space="preserve"> the interpretation</w:t>
      </w:r>
      <w:r w:rsidR="00D31405">
        <w:rPr>
          <w:rFonts w:ascii="Arial" w:eastAsia="Times New Roman" w:hAnsi="Arial" w:cs="Arial"/>
          <w:sz w:val="24"/>
          <w:szCs w:val="24"/>
          <w:lang w:val="en-GB" w:eastAsia="en-GB"/>
        </w:rPr>
        <w:t xml:space="preserve"> and application</w:t>
      </w:r>
      <w:r w:rsidR="003A6BCB">
        <w:rPr>
          <w:rFonts w:ascii="Arial" w:eastAsia="Times New Roman" w:hAnsi="Arial" w:cs="Arial"/>
          <w:sz w:val="24"/>
          <w:szCs w:val="24"/>
          <w:lang w:val="en-GB" w:eastAsia="en-GB"/>
        </w:rPr>
        <w:t xml:space="preserve"> of the definition of a ‘workplace’ in s 213 of the LRA, the interpretation and application of 23 (1) (d), and the</w:t>
      </w:r>
      <w:r w:rsidR="00D31405">
        <w:rPr>
          <w:rFonts w:ascii="Arial" w:eastAsia="Times New Roman" w:hAnsi="Arial" w:cs="Arial"/>
          <w:sz w:val="24"/>
          <w:szCs w:val="24"/>
          <w:lang w:val="en-GB" w:eastAsia="en-GB"/>
        </w:rPr>
        <w:t xml:space="preserve"> connection between that subsection</w:t>
      </w:r>
      <w:r w:rsidR="003A6BCB">
        <w:rPr>
          <w:rFonts w:ascii="Arial" w:eastAsia="Times New Roman" w:hAnsi="Arial" w:cs="Arial"/>
          <w:sz w:val="24"/>
          <w:szCs w:val="24"/>
          <w:lang w:val="en-GB" w:eastAsia="en-GB"/>
        </w:rPr>
        <w:t xml:space="preserve"> and s 65</w:t>
      </w:r>
      <w:r w:rsidR="0049189C">
        <w:rPr>
          <w:rFonts w:ascii="Arial" w:eastAsia="Times New Roman" w:hAnsi="Arial" w:cs="Arial"/>
          <w:sz w:val="24"/>
          <w:szCs w:val="24"/>
          <w:lang w:val="en-GB" w:eastAsia="en-GB"/>
        </w:rPr>
        <w:t xml:space="preserve"> </w:t>
      </w:r>
      <w:r w:rsidR="003A6BCB">
        <w:rPr>
          <w:rFonts w:ascii="Arial" w:eastAsia="Times New Roman" w:hAnsi="Arial" w:cs="Arial"/>
          <w:sz w:val="24"/>
          <w:szCs w:val="24"/>
          <w:lang w:val="en-GB" w:eastAsia="en-GB"/>
        </w:rPr>
        <w:t>(1</w:t>
      </w:r>
      <w:r w:rsidR="00C83E76">
        <w:rPr>
          <w:rFonts w:ascii="Arial" w:eastAsia="Times New Roman" w:hAnsi="Arial" w:cs="Arial"/>
          <w:sz w:val="24"/>
          <w:szCs w:val="24"/>
          <w:lang w:val="en-GB" w:eastAsia="en-GB"/>
        </w:rPr>
        <w:t>) (</w:t>
      </w:r>
      <w:r w:rsidR="003A6BCB">
        <w:rPr>
          <w:rFonts w:ascii="Arial" w:eastAsia="Times New Roman" w:hAnsi="Arial" w:cs="Arial"/>
          <w:sz w:val="24"/>
          <w:szCs w:val="24"/>
          <w:lang w:val="en-GB" w:eastAsia="en-GB"/>
        </w:rPr>
        <w:t>a),</w:t>
      </w:r>
      <w:r w:rsidR="00D31405">
        <w:rPr>
          <w:rFonts w:ascii="Arial" w:eastAsia="Times New Roman" w:hAnsi="Arial" w:cs="Arial"/>
          <w:sz w:val="24"/>
          <w:szCs w:val="24"/>
          <w:lang w:val="en-GB" w:eastAsia="en-GB"/>
        </w:rPr>
        <w:t xml:space="preserve"> given especially the constitutional </w:t>
      </w:r>
      <w:r w:rsidR="002D5AF0">
        <w:rPr>
          <w:rFonts w:ascii="Arial" w:eastAsia="Times New Roman" w:hAnsi="Arial" w:cs="Arial"/>
          <w:sz w:val="24"/>
          <w:szCs w:val="24"/>
          <w:lang w:val="en-GB" w:eastAsia="en-GB"/>
        </w:rPr>
        <w:t>rights to engage in collective bargaining</w:t>
      </w:r>
      <w:r w:rsidR="00D31405">
        <w:rPr>
          <w:rFonts w:ascii="Arial" w:eastAsia="Times New Roman" w:hAnsi="Arial" w:cs="Arial"/>
          <w:sz w:val="24"/>
          <w:szCs w:val="24"/>
          <w:lang w:val="en-GB" w:eastAsia="en-GB"/>
        </w:rPr>
        <w:t xml:space="preserve"> and to strike.</w:t>
      </w:r>
      <w:r w:rsidR="003A6BCB">
        <w:rPr>
          <w:rFonts w:ascii="Arial" w:eastAsia="Times New Roman" w:hAnsi="Arial" w:cs="Arial"/>
          <w:sz w:val="24"/>
          <w:szCs w:val="24"/>
          <w:lang w:val="en-GB" w:eastAsia="en-GB"/>
        </w:rPr>
        <w:t xml:space="preserve"> </w:t>
      </w:r>
      <w:r w:rsidR="00D31405">
        <w:rPr>
          <w:rFonts w:ascii="Arial" w:eastAsia="Times New Roman" w:hAnsi="Arial" w:cs="Arial"/>
          <w:sz w:val="24"/>
          <w:szCs w:val="24"/>
          <w:lang w:val="en-GB" w:eastAsia="en-GB"/>
        </w:rPr>
        <w:t xml:space="preserve">AMCU also pursued its argument in relation to </w:t>
      </w:r>
      <w:r w:rsidR="006E53D5">
        <w:rPr>
          <w:rFonts w:ascii="Arial" w:eastAsia="Times New Roman" w:hAnsi="Arial" w:cs="Arial"/>
          <w:sz w:val="24"/>
          <w:szCs w:val="24"/>
          <w:lang w:val="en-GB" w:eastAsia="en-GB"/>
        </w:rPr>
        <w:t>s 32 of t</w:t>
      </w:r>
      <w:r w:rsidR="00340B3F">
        <w:rPr>
          <w:rFonts w:ascii="Arial" w:eastAsia="Times New Roman" w:hAnsi="Arial" w:cs="Arial"/>
          <w:sz w:val="24"/>
          <w:szCs w:val="24"/>
          <w:lang w:val="en-GB" w:eastAsia="en-GB"/>
        </w:rPr>
        <w:t>h</w:t>
      </w:r>
      <w:r w:rsidR="00D31405">
        <w:rPr>
          <w:rFonts w:ascii="Arial" w:eastAsia="Times New Roman" w:hAnsi="Arial" w:cs="Arial"/>
          <w:sz w:val="24"/>
          <w:szCs w:val="24"/>
          <w:lang w:val="en-GB" w:eastAsia="en-GB"/>
        </w:rPr>
        <w:t>e LRA</w:t>
      </w:r>
      <w:r w:rsidR="006E53D5">
        <w:rPr>
          <w:rFonts w:ascii="Arial" w:eastAsia="Times New Roman" w:hAnsi="Arial" w:cs="Arial"/>
          <w:sz w:val="24"/>
          <w:szCs w:val="24"/>
          <w:lang w:val="en-GB" w:eastAsia="en-GB"/>
        </w:rPr>
        <w:t xml:space="preserve"> and in part</w:t>
      </w:r>
      <w:r w:rsidR="00D31405">
        <w:rPr>
          <w:rFonts w:ascii="Arial" w:eastAsia="Times New Roman" w:hAnsi="Arial" w:cs="Arial"/>
          <w:sz w:val="24"/>
          <w:szCs w:val="24"/>
          <w:lang w:val="en-GB" w:eastAsia="en-GB"/>
        </w:rPr>
        <w:t>icular, the</w:t>
      </w:r>
      <w:r w:rsidR="006E53D5">
        <w:rPr>
          <w:rFonts w:ascii="Arial" w:eastAsia="Times New Roman" w:hAnsi="Arial" w:cs="Arial"/>
          <w:sz w:val="24"/>
          <w:szCs w:val="24"/>
          <w:lang w:val="en-GB" w:eastAsia="en-GB"/>
        </w:rPr>
        <w:t xml:space="preserve"> submission that the wage ag</w:t>
      </w:r>
      <w:r w:rsidR="002D5AF0">
        <w:rPr>
          <w:rFonts w:ascii="Arial" w:eastAsia="Times New Roman" w:hAnsi="Arial" w:cs="Arial"/>
          <w:sz w:val="24"/>
          <w:szCs w:val="24"/>
          <w:lang w:val="en-GB" w:eastAsia="en-GB"/>
        </w:rPr>
        <w:t>reement is a sectoral agreement</w:t>
      </w:r>
      <w:r w:rsidR="006E53D5">
        <w:rPr>
          <w:rFonts w:ascii="Arial" w:eastAsia="Times New Roman" w:hAnsi="Arial" w:cs="Arial"/>
          <w:sz w:val="24"/>
          <w:szCs w:val="24"/>
          <w:lang w:val="en-GB" w:eastAsia="en-GB"/>
        </w:rPr>
        <w:t xml:space="preserve"> and ought to have been dealt with in t</w:t>
      </w:r>
      <w:r w:rsidR="00D31405">
        <w:rPr>
          <w:rFonts w:ascii="Arial" w:eastAsia="Times New Roman" w:hAnsi="Arial" w:cs="Arial"/>
          <w:sz w:val="24"/>
          <w:szCs w:val="24"/>
          <w:lang w:val="en-GB" w:eastAsia="en-GB"/>
        </w:rPr>
        <w:t>he same or similar fashion as the</w:t>
      </w:r>
      <w:r w:rsidR="006E53D5">
        <w:rPr>
          <w:rFonts w:ascii="Arial" w:eastAsia="Times New Roman" w:hAnsi="Arial" w:cs="Arial"/>
          <w:sz w:val="24"/>
          <w:szCs w:val="24"/>
          <w:lang w:val="en-GB" w:eastAsia="en-GB"/>
        </w:rPr>
        <w:t xml:space="preserve"> extension of a collective agreement under that section. </w:t>
      </w:r>
    </w:p>
    <w:p w:rsidR="00EC40B0" w:rsidRDefault="005C4BC0" w:rsidP="00A826E5">
      <w:pPr>
        <w:spacing w:line="360" w:lineRule="auto"/>
        <w:ind w:left="720" w:hanging="720"/>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lastRenderedPageBreak/>
        <w:t xml:space="preserve"> </w:t>
      </w:r>
      <w:r w:rsidR="00A54FBE">
        <w:rPr>
          <w:rFonts w:ascii="Arial" w:eastAsia="Times New Roman" w:hAnsi="Arial" w:cs="Arial"/>
          <w:sz w:val="24"/>
          <w:szCs w:val="24"/>
          <w:lang w:val="en-GB" w:eastAsia="en-GB"/>
        </w:rPr>
        <w:t>[15</w:t>
      </w:r>
      <w:r w:rsidR="007C651F">
        <w:rPr>
          <w:rFonts w:ascii="Arial" w:eastAsia="Times New Roman" w:hAnsi="Arial" w:cs="Arial"/>
          <w:sz w:val="24"/>
          <w:szCs w:val="24"/>
          <w:lang w:val="en-GB" w:eastAsia="en-GB"/>
        </w:rPr>
        <w:t>]</w:t>
      </w:r>
      <w:r w:rsidR="007C651F">
        <w:rPr>
          <w:rFonts w:ascii="Arial" w:eastAsia="Times New Roman" w:hAnsi="Arial" w:cs="Arial"/>
          <w:sz w:val="24"/>
          <w:szCs w:val="24"/>
          <w:lang w:val="en-GB" w:eastAsia="en-GB"/>
        </w:rPr>
        <w:tab/>
        <w:t xml:space="preserve">It is appropriate at this point to deal with the </w:t>
      </w:r>
      <w:r w:rsidR="002D5AF0">
        <w:rPr>
          <w:rFonts w:ascii="Arial" w:eastAsia="Times New Roman" w:hAnsi="Arial" w:cs="Arial"/>
          <w:sz w:val="24"/>
          <w:szCs w:val="24"/>
          <w:lang w:val="en-GB" w:eastAsia="en-GB"/>
        </w:rPr>
        <w:t xml:space="preserve">Chamber’s </w:t>
      </w:r>
      <w:r w:rsidR="007C651F">
        <w:rPr>
          <w:rFonts w:ascii="Arial" w:eastAsia="Times New Roman" w:hAnsi="Arial" w:cs="Arial"/>
          <w:sz w:val="24"/>
          <w:szCs w:val="24"/>
          <w:lang w:val="en-GB" w:eastAsia="en-GB"/>
        </w:rPr>
        <w:t xml:space="preserve">application to strike out the annexures to the supplementary affidavit filed by AMCU. </w:t>
      </w:r>
      <w:r w:rsidR="00EC40B0">
        <w:rPr>
          <w:rFonts w:ascii="Arial" w:eastAsia="Times New Roman" w:hAnsi="Arial" w:cs="Arial"/>
          <w:sz w:val="24"/>
          <w:szCs w:val="24"/>
          <w:lang w:val="en-GB" w:eastAsia="en-GB"/>
        </w:rPr>
        <w:t>Some two months after Cele J granted the interim order sought by the</w:t>
      </w:r>
      <w:r w:rsidR="004418DA">
        <w:rPr>
          <w:rFonts w:ascii="Arial" w:eastAsia="Times New Roman" w:hAnsi="Arial" w:cs="Arial"/>
          <w:sz w:val="24"/>
          <w:szCs w:val="24"/>
          <w:lang w:val="en-GB" w:eastAsia="en-GB"/>
        </w:rPr>
        <w:t xml:space="preserve"> Chamber, AMCU</w:t>
      </w:r>
      <w:r w:rsidR="00EC40B0">
        <w:rPr>
          <w:rFonts w:ascii="Arial" w:eastAsia="Times New Roman" w:hAnsi="Arial" w:cs="Arial"/>
          <w:sz w:val="24"/>
          <w:szCs w:val="24"/>
          <w:lang w:val="en-GB" w:eastAsia="en-GB"/>
        </w:rPr>
        <w:t xml:space="preserve"> filed a supplementary affidavit in the main application. At paragraph 5 of the supplementary answering affid</w:t>
      </w:r>
      <w:r w:rsidR="0049189C">
        <w:rPr>
          <w:rFonts w:ascii="Arial" w:eastAsia="Times New Roman" w:hAnsi="Arial" w:cs="Arial"/>
          <w:sz w:val="24"/>
          <w:szCs w:val="24"/>
          <w:lang w:val="en-GB" w:eastAsia="en-GB"/>
        </w:rPr>
        <w:t xml:space="preserve">avit, the deponent states that </w:t>
      </w:r>
      <w:r w:rsidR="00EC40B0">
        <w:rPr>
          <w:rFonts w:ascii="Arial" w:eastAsia="Times New Roman" w:hAnsi="Arial" w:cs="Arial"/>
          <w:sz w:val="24"/>
          <w:szCs w:val="24"/>
          <w:lang w:val="en-GB" w:eastAsia="en-GB"/>
        </w:rPr>
        <w:t>the purpose of the affidavit is to provide additional facts to the court concerning the definition o</w:t>
      </w:r>
      <w:r w:rsidR="00D531B0">
        <w:rPr>
          <w:rFonts w:ascii="Arial" w:eastAsia="Times New Roman" w:hAnsi="Arial" w:cs="Arial"/>
          <w:sz w:val="24"/>
          <w:szCs w:val="24"/>
          <w:lang w:val="en-GB" w:eastAsia="en-GB"/>
        </w:rPr>
        <w:t xml:space="preserve">f the </w:t>
      </w:r>
      <w:r w:rsidR="0049189C">
        <w:rPr>
          <w:rFonts w:ascii="Arial" w:eastAsia="Times New Roman" w:hAnsi="Arial" w:cs="Arial"/>
          <w:sz w:val="24"/>
          <w:szCs w:val="24"/>
          <w:lang w:val="en-GB" w:eastAsia="en-GB"/>
        </w:rPr>
        <w:t>‘</w:t>
      </w:r>
      <w:r w:rsidR="00D531B0">
        <w:rPr>
          <w:rFonts w:ascii="Arial" w:eastAsia="Times New Roman" w:hAnsi="Arial" w:cs="Arial"/>
          <w:sz w:val="24"/>
          <w:szCs w:val="24"/>
          <w:lang w:val="en-GB" w:eastAsia="en-GB"/>
        </w:rPr>
        <w:t>workplace</w:t>
      </w:r>
      <w:r w:rsidR="0049189C">
        <w:rPr>
          <w:rFonts w:ascii="Arial" w:eastAsia="Times New Roman" w:hAnsi="Arial" w:cs="Arial"/>
          <w:sz w:val="24"/>
          <w:szCs w:val="24"/>
          <w:lang w:val="en-GB" w:eastAsia="en-GB"/>
        </w:rPr>
        <w:t>’</w:t>
      </w:r>
      <w:r w:rsidR="00D531B0">
        <w:rPr>
          <w:rFonts w:ascii="Arial" w:eastAsia="Times New Roman" w:hAnsi="Arial" w:cs="Arial"/>
          <w:sz w:val="24"/>
          <w:szCs w:val="24"/>
          <w:lang w:val="en-GB" w:eastAsia="en-GB"/>
        </w:rPr>
        <w:t>. In respect of H</w:t>
      </w:r>
      <w:r w:rsidR="00EC40B0">
        <w:rPr>
          <w:rFonts w:ascii="Arial" w:eastAsia="Times New Roman" w:hAnsi="Arial" w:cs="Arial"/>
          <w:sz w:val="24"/>
          <w:szCs w:val="24"/>
          <w:lang w:val="en-GB" w:eastAsia="en-GB"/>
        </w:rPr>
        <w:t>armony, it is averred that Harmony, in response to a request for informal discovery made by AMCU, had discovered 10 separate charter compliance reports</w:t>
      </w:r>
      <w:r w:rsidR="0049189C">
        <w:rPr>
          <w:rFonts w:ascii="Arial" w:eastAsia="Times New Roman" w:hAnsi="Arial" w:cs="Arial"/>
          <w:sz w:val="24"/>
          <w:szCs w:val="24"/>
          <w:lang w:val="en-GB" w:eastAsia="en-GB"/>
        </w:rPr>
        <w:t xml:space="preserve"> </w:t>
      </w:r>
      <w:r w:rsidR="0092467B">
        <w:rPr>
          <w:rStyle w:val="FootnoteReference"/>
          <w:rFonts w:ascii="Arial" w:eastAsia="Times New Roman" w:hAnsi="Arial" w:cs="Arial"/>
          <w:sz w:val="24"/>
          <w:szCs w:val="24"/>
          <w:lang w:val="en-GB" w:eastAsia="en-GB"/>
        </w:rPr>
        <w:footnoteReference w:id="6"/>
      </w:r>
      <w:r w:rsidR="00EC40B0">
        <w:rPr>
          <w:rFonts w:ascii="Arial" w:eastAsia="Times New Roman" w:hAnsi="Arial" w:cs="Arial"/>
          <w:sz w:val="24"/>
          <w:szCs w:val="24"/>
          <w:lang w:val="en-GB" w:eastAsia="en-GB"/>
        </w:rPr>
        <w:t xml:space="preserve"> in terms of the M</w:t>
      </w:r>
      <w:r w:rsidR="005573B0">
        <w:rPr>
          <w:rFonts w:ascii="Arial" w:eastAsia="Times New Roman" w:hAnsi="Arial" w:cs="Arial"/>
          <w:sz w:val="24"/>
          <w:szCs w:val="24"/>
          <w:lang w:val="en-GB" w:eastAsia="en-GB"/>
        </w:rPr>
        <w:t xml:space="preserve">inerals </w:t>
      </w:r>
      <w:r w:rsidR="00EC40B0">
        <w:rPr>
          <w:rFonts w:ascii="Arial" w:eastAsia="Times New Roman" w:hAnsi="Arial" w:cs="Arial"/>
          <w:sz w:val="24"/>
          <w:szCs w:val="24"/>
          <w:lang w:val="en-GB" w:eastAsia="en-GB"/>
        </w:rPr>
        <w:t>P</w:t>
      </w:r>
      <w:r w:rsidR="005573B0">
        <w:rPr>
          <w:rFonts w:ascii="Arial" w:eastAsia="Times New Roman" w:hAnsi="Arial" w:cs="Arial"/>
          <w:sz w:val="24"/>
          <w:szCs w:val="24"/>
          <w:lang w:val="en-GB" w:eastAsia="en-GB"/>
        </w:rPr>
        <w:t xml:space="preserve">etroleum </w:t>
      </w:r>
      <w:r w:rsidR="00EC40B0">
        <w:rPr>
          <w:rFonts w:ascii="Arial" w:eastAsia="Times New Roman" w:hAnsi="Arial" w:cs="Arial"/>
          <w:sz w:val="24"/>
          <w:szCs w:val="24"/>
          <w:lang w:val="en-GB" w:eastAsia="en-GB"/>
        </w:rPr>
        <w:t>R</w:t>
      </w:r>
      <w:r w:rsidR="005573B0">
        <w:rPr>
          <w:rFonts w:ascii="Arial" w:eastAsia="Times New Roman" w:hAnsi="Arial" w:cs="Arial"/>
          <w:sz w:val="24"/>
          <w:szCs w:val="24"/>
          <w:lang w:val="en-GB" w:eastAsia="en-GB"/>
        </w:rPr>
        <w:t xml:space="preserve">esources </w:t>
      </w:r>
      <w:r w:rsidR="00EC40B0">
        <w:rPr>
          <w:rFonts w:ascii="Arial" w:eastAsia="Times New Roman" w:hAnsi="Arial" w:cs="Arial"/>
          <w:sz w:val="24"/>
          <w:szCs w:val="24"/>
          <w:lang w:val="en-GB" w:eastAsia="en-GB"/>
        </w:rPr>
        <w:t>D</w:t>
      </w:r>
      <w:r w:rsidR="005573B0">
        <w:rPr>
          <w:rFonts w:ascii="Arial" w:eastAsia="Times New Roman" w:hAnsi="Arial" w:cs="Arial"/>
          <w:sz w:val="24"/>
          <w:szCs w:val="24"/>
          <w:lang w:val="en-GB" w:eastAsia="en-GB"/>
        </w:rPr>
        <w:t xml:space="preserve">evelopment </w:t>
      </w:r>
      <w:r w:rsidR="00EC40B0">
        <w:rPr>
          <w:rFonts w:ascii="Arial" w:eastAsia="Times New Roman" w:hAnsi="Arial" w:cs="Arial"/>
          <w:sz w:val="24"/>
          <w:szCs w:val="24"/>
          <w:lang w:val="en-GB" w:eastAsia="en-GB"/>
        </w:rPr>
        <w:t>A</w:t>
      </w:r>
      <w:r w:rsidR="005573B0">
        <w:rPr>
          <w:rFonts w:ascii="Arial" w:eastAsia="Times New Roman" w:hAnsi="Arial" w:cs="Arial"/>
          <w:sz w:val="24"/>
          <w:szCs w:val="24"/>
          <w:lang w:val="en-GB" w:eastAsia="en-GB"/>
        </w:rPr>
        <w:t>ct</w:t>
      </w:r>
      <w:r w:rsidR="00D531B0">
        <w:rPr>
          <w:rFonts w:ascii="Arial" w:eastAsia="Times New Roman" w:hAnsi="Arial" w:cs="Arial"/>
          <w:sz w:val="24"/>
          <w:szCs w:val="24"/>
          <w:lang w:val="en-GB" w:eastAsia="en-GB"/>
        </w:rPr>
        <w:t xml:space="preserve"> 28 of 20</w:t>
      </w:r>
      <w:r w:rsidR="0092467B">
        <w:rPr>
          <w:rFonts w:ascii="Arial" w:eastAsia="Times New Roman" w:hAnsi="Arial" w:cs="Arial"/>
          <w:sz w:val="24"/>
          <w:szCs w:val="24"/>
          <w:lang w:val="en-GB" w:eastAsia="en-GB"/>
        </w:rPr>
        <w:t>02</w:t>
      </w:r>
      <w:r w:rsidR="00D531B0">
        <w:rPr>
          <w:rFonts w:ascii="Arial" w:eastAsia="Times New Roman" w:hAnsi="Arial" w:cs="Arial"/>
          <w:sz w:val="24"/>
          <w:szCs w:val="24"/>
          <w:lang w:val="en-GB" w:eastAsia="en-GB"/>
        </w:rPr>
        <w:t xml:space="preserve"> (the MPRDA)</w:t>
      </w:r>
      <w:r w:rsidR="005046EB">
        <w:rPr>
          <w:rFonts w:ascii="Arial" w:eastAsia="Times New Roman" w:hAnsi="Arial" w:cs="Arial"/>
          <w:sz w:val="24"/>
          <w:szCs w:val="24"/>
          <w:lang w:val="en-GB" w:eastAsia="en-GB"/>
        </w:rPr>
        <w:t xml:space="preserve"> and</w:t>
      </w:r>
      <w:r w:rsidR="0092467B">
        <w:rPr>
          <w:rFonts w:ascii="Arial" w:eastAsia="Times New Roman" w:hAnsi="Arial" w:cs="Arial"/>
          <w:sz w:val="24"/>
          <w:szCs w:val="24"/>
          <w:lang w:val="en-GB" w:eastAsia="en-GB"/>
        </w:rPr>
        <w:t xml:space="preserve"> nine separate social and l</w:t>
      </w:r>
      <w:r w:rsidR="00EC40B0">
        <w:rPr>
          <w:rFonts w:ascii="Arial" w:eastAsia="Times New Roman" w:hAnsi="Arial" w:cs="Arial"/>
          <w:sz w:val="24"/>
          <w:szCs w:val="24"/>
          <w:lang w:val="en-GB" w:eastAsia="en-GB"/>
        </w:rPr>
        <w:t>abour plans.</w:t>
      </w:r>
      <w:r w:rsidR="0092467B">
        <w:rPr>
          <w:rStyle w:val="FootnoteReference"/>
          <w:rFonts w:ascii="Arial" w:eastAsia="Times New Roman" w:hAnsi="Arial" w:cs="Arial"/>
          <w:sz w:val="24"/>
          <w:szCs w:val="24"/>
          <w:lang w:val="en-GB" w:eastAsia="en-GB"/>
        </w:rPr>
        <w:footnoteReference w:id="7"/>
      </w:r>
      <w:r w:rsidR="00EC40B0">
        <w:rPr>
          <w:rFonts w:ascii="Arial" w:eastAsia="Times New Roman" w:hAnsi="Arial" w:cs="Arial"/>
          <w:sz w:val="24"/>
          <w:szCs w:val="24"/>
          <w:lang w:val="en-GB" w:eastAsia="en-GB"/>
        </w:rPr>
        <w:t xml:space="preserve"> The affidavit does not contain a single reference to any particular portion of any annexure. There is no exposition in the affi</w:t>
      </w:r>
      <w:r w:rsidR="00D531B0">
        <w:rPr>
          <w:rFonts w:ascii="Arial" w:eastAsia="Times New Roman" w:hAnsi="Arial" w:cs="Arial"/>
          <w:sz w:val="24"/>
          <w:szCs w:val="24"/>
          <w:lang w:val="en-GB" w:eastAsia="en-GB"/>
        </w:rPr>
        <w:t>davit as to which of the annexures</w:t>
      </w:r>
      <w:r w:rsidR="00EC40B0">
        <w:rPr>
          <w:rFonts w:ascii="Arial" w:eastAsia="Times New Roman" w:hAnsi="Arial" w:cs="Arial"/>
          <w:sz w:val="24"/>
          <w:szCs w:val="24"/>
          <w:lang w:val="en-GB" w:eastAsia="en-GB"/>
        </w:rPr>
        <w:t xml:space="preserve"> or any part of them is relevant to the determination of a workplace for the purposes of these proceedings. The only averme</w:t>
      </w:r>
      <w:r w:rsidR="002D5AF0">
        <w:rPr>
          <w:rFonts w:ascii="Arial" w:eastAsia="Times New Roman" w:hAnsi="Arial" w:cs="Arial"/>
          <w:sz w:val="24"/>
          <w:szCs w:val="24"/>
          <w:lang w:val="en-GB" w:eastAsia="en-GB"/>
        </w:rPr>
        <w:t>nt that ha</w:t>
      </w:r>
      <w:r w:rsidR="00EC40B0">
        <w:rPr>
          <w:rFonts w:ascii="Arial" w:eastAsia="Times New Roman" w:hAnsi="Arial" w:cs="Arial"/>
          <w:sz w:val="24"/>
          <w:szCs w:val="24"/>
          <w:lang w:val="en-GB" w:eastAsia="en-GB"/>
        </w:rPr>
        <w:t>s any reference to the annex</w:t>
      </w:r>
      <w:r w:rsidR="002D5AF0">
        <w:rPr>
          <w:rFonts w:ascii="Arial" w:eastAsia="Times New Roman" w:hAnsi="Arial" w:cs="Arial"/>
          <w:sz w:val="24"/>
          <w:szCs w:val="24"/>
          <w:lang w:val="en-GB" w:eastAsia="en-GB"/>
        </w:rPr>
        <w:t>ur</w:t>
      </w:r>
      <w:r w:rsidR="00EC40B0">
        <w:rPr>
          <w:rFonts w:ascii="Arial" w:eastAsia="Times New Roman" w:hAnsi="Arial" w:cs="Arial"/>
          <w:sz w:val="24"/>
          <w:szCs w:val="24"/>
          <w:lang w:val="en-GB" w:eastAsia="en-GB"/>
        </w:rPr>
        <w:t>es is one</w:t>
      </w:r>
      <w:r w:rsidR="002D5AF0">
        <w:rPr>
          <w:rFonts w:ascii="Arial" w:eastAsia="Times New Roman" w:hAnsi="Arial" w:cs="Arial"/>
          <w:sz w:val="24"/>
          <w:szCs w:val="24"/>
          <w:lang w:val="en-GB" w:eastAsia="en-GB"/>
        </w:rPr>
        <w:t xml:space="preserve"> to the effect that the content</w:t>
      </w:r>
      <w:r w:rsidR="00EC40B0">
        <w:rPr>
          <w:rFonts w:ascii="Arial" w:eastAsia="Times New Roman" w:hAnsi="Arial" w:cs="Arial"/>
          <w:sz w:val="24"/>
          <w:szCs w:val="24"/>
          <w:lang w:val="en-GB" w:eastAsia="en-GB"/>
        </w:rPr>
        <w:t xml:space="preserve"> of the reports, which the deponent contends to be dest</w:t>
      </w:r>
      <w:r w:rsidR="002D5AF0">
        <w:rPr>
          <w:rFonts w:ascii="Arial" w:eastAsia="Times New Roman" w:hAnsi="Arial" w:cs="Arial"/>
          <w:sz w:val="24"/>
          <w:szCs w:val="24"/>
          <w:lang w:val="en-GB" w:eastAsia="en-GB"/>
        </w:rPr>
        <w:t>ructive of the allegation that H</w:t>
      </w:r>
      <w:r w:rsidR="00EC40B0">
        <w:rPr>
          <w:rFonts w:ascii="Arial" w:eastAsia="Times New Roman" w:hAnsi="Arial" w:cs="Arial"/>
          <w:sz w:val="24"/>
          <w:szCs w:val="24"/>
          <w:lang w:val="en-GB" w:eastAsia="en-GB"/>
        </w:rPr>
        <w:t>armony operates as a single workplace, will be referred to during argument</w:t>
      </w:r>
      <w:r w:rsidR="005046EB">
        <w:rPr>
          <w:rFonts w:ascii="Arial" w:eastAsia="Times New Roman" w:hAnsi="Arial" w:cs="Arial"/>
          <w:sz w:val="24"/>
          <w:szCs w:val="24"/>
          <w:lang w:val="en-GB" w:eastAsia="en-GB"/>
        </w:rPr>
        <w:t xml:space="preserve">. </w:t>
      </w:r>
      <w:r w:rsidR="004418DA">
        <w:rPr>
          <w:rFonts w:ascii="Arial" w:eastAsia="Times New Roman" w:hAnsi="Arial" w:cs="Arial"/>
          <w:sz w:val="24"/>
          <w:szCs w:val="24"/>
          <w:lang w:val="en-GB" w:eastAsia="en-GB"/>
        </w:rPr>
        <w:t>A</w:t>
      </w:r>
      <w:r w:rsidR="00EC40B0">
        <w:rPr>
          <w:rFonts w:ascii="Arial" w:eastAsia="Times New Roman" w:hAnsi="Arial" w:cs="Arial"/>
          <w:sz w:val="24"/>
          <w:szCs w:val="24"/>
          <w:lang w:val="en-GB" w:eastAsia="en-GB"/>
        </w:rPr>
        <w:t xml:space="preserve"> similar approach</w:t>
      </w:r>
      <w:r w:rsidR="00935D6D">
        <w:rPr>
          <w:rFonts w:ascii="Arial" w:eastAsia="Times New Roman" w:hAnsi="Arial" w:cs="Arial"/>
          <w:sz w:val="24"/>
          <w:szCs w:val="24"/>
          <w:lang w:val="en-GB" w:eastAsia="en-GB"/>
        </w:rPr>
        <w:t xml:space="preserve"> is adopted in respect of </w:t>
      </w:r>
      <w:r w:rsidR="002D5AF0">
        <w:rPr>
          <w:rFonts w:ascii="Arial" w:eastAsia="Times New Roman" w:hAnsi="Arial" w:cs="Arial"/>
          <w:sz w:val="24"/>
          <w:szCs w:val="24"/>
          <w:lang w:val="en-GB" w:eastAsia="en-GB"/>
        </w:rPr>
        <w:t xml:space="preserve">reports submitted in terms of the same regulatory measures by </w:t>
      </w:r>
      <w:r w:rsidR="00935D6D">
        <w:rPr>
          <w:rFonts w:ascii="Arial" w:eastAsia="Times New Roman" w:hAnsi="Arial" w:cs="Arial"/>
          <w:sz w:val="24"/>
          <w:szCs w:val="24"/>
          <w:lang w:val="en-GB" w:eastAsia="en-GB"/>
        </w:rPr>
        <w:t>Anglo</w:t>
      </w:r>
      <w:r w:rsidR="00EC40B0">
        <w:rPr>
          <w:rFonts w:ascii="Arial" w:eastAsia="Times New Roman" w:hAnsi="Arial" w:cs="Arial"/>
          <w:sz w:val="24"/>
          <w:szCs w:val="24"/>
          <w:lang w:val="en-GB" w:eastAsia="en-GB"/>
        </w:rPr>
        <w:t xml:space="preserve">Gold Ashanti and Sibanye. In total, 29 reports </w:t>
      </w:r>
      <w:r w:rsidR="002D5AF0">
        <w:rPr>
          <w:rFonts w:ascii="Arial" w:eastAsia="Times New Roman" w:hAnsi="Arial" w:cs="Arial"/>
          <w:sz w:val="24"/>
          <w:szCs w:val="24"/>
          <w:lang w:val="en-GB" w:eastAsia="en-GB"/>
        </w:rPr>
        <w:t xml:space="preserve">comprising 2846 pages </w:t>
      </w:r>
      <w:r w:rsidR="00EC40B0">
        <w:rPr>
          <w:rFonts w:ascii="Arial" w:eastAsia="Times New Roman" w:hAnsi="Arial" w:cs="Arial"/>
          <w:sz w:val="24"/>
          <w:szCs w:val="24"/>
          <w:lang w:val="en-GB" w:eastAsia="en-GB"/>
        </w:rPr>
        <w:t>are attached</w:t>
      </w:r>
      <w:r w:rsidR="005046EB">
        <w:rPr>
          <w:rFonts w:ascii="Arial" w:eastAsia="Times New Roman" w:hAnsi="Arial" w:cs="Arial"/>
          <w:sz w:val="24"/>
          <w:szCs w:val="24"/>
          <w:lang w:val="en-GB" w:eastAsia="en-GB"/>
        </w:rPr>
        <w:t xml:space="preserve"> to the supplementary affidavit</w:t>
      </w:r>
      <w:r w:rsidR="00EC40B0">
        <w:rPr>
          <w:rFonts w:ascii="Arial" w:eastAsia="Times New Roman" w:hAnsi="Arial" w:cs="Arial"/>
          <w:sz w:val="24"/>
          <w:szCs w:val="24"/>
          <w:lang w:val="en-GB" w:eastAsia="en-GB"/>
        </w:rPr>
        <w:t>.</w:t>
      </w:r>
    </w:p>
    <w:p w:rsidR="00EC40B0" w:rsidRDefault="00A54FBE" w:rsidP="00A826E5">
      <w:pPr>
        <w:spacing w:line="360" w:lineRule="auto"/>
        <w:ind w:left="720" w:hanging="720"/>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[16</w:t>
      </w:r>
      <w:r w:rsidR="005046EB">
        <w:rPr>
          <w:rFonts w:ascii="Arial" w:eastAsia="Times New Roman" w:hAnsi="Arial" w:cs="Arial"/>
          <w:sz w:val="24"/>
          <w:szCs w:val="24"/>
          <w:lang w:val="en-GB" w:eastAsia="en-GB"/>
        </w:rPr>
        <w:t>]</w:t>
      </w:r>
      <w:r w:rsidR="005046EB">
        <w:rPr>
          <w:rFonts w:ascii="Arial" w:eastAsia="Times New Roman" w:hAnsi="Arial" w:cs="Arial"/>
          <w:sz w:val="24"/>
          <w:szCs w:val="24"/>
          <w:lang w:val="en-GB" w:eastAsia="en-GB"/>
        </w:rPr>
        <w:tab/>
        <w:t>I</w:t>
      </w:r>
      <w:r w:rsidR="00EC40B0">
        <w:rPr>
          <w:rFonts w:ascii="Arial" w:eastAsia="Times New Roman" w:hAnsi="Arial" w:cs="Arial"/>
          <w:sz w:val="24"/>
          <w:szCs w:val="24"/>
          <w:lang w:val="en-GB" w:eastAsia="en-GB"/>
        </w:rPr>
        <w:t xml:space="preserve">n </w:t>
      </w:r>
      <w:r w:rsidR="004418DA">
        <w:rPr>
          <w:rFonts w:ascii="Arial" w:eastAsia="Times New Roman" w:hAnsi="Arial" w:cs="Arial"/>
          <w:i/>
          <w:sz w:val="24"/>
          <w:szCs w:val="24"/>
          <w:lang w:val="en-GB" w:eastAsia="en-GB"/>
        </w:rPr>
        <w:t xml:space="preserve">Swissborough Diamond Mines </w:t>
      </w:r>
      <w:r w:rsidR="0049189C">
        <w:rPr>
          <w:rFonts w:ascii="Arial" w:eastAsia="Times New Roman" w:hAnsi="Arial" w:cs="Arial"/>
          <w:i/>
          <w:sz w:val="24"/>
          <w:szCs w:val="24"/>
          <w:lang w:val="en-GB" w:eastAsia="en-GB"/>
        </w:rPr>
        <w:t>(</w:t>
      </w:r>
      <w:r w:rsidR="004418DA">
        <w:rPr>
          <w:rFonts w:ascii="Arial" w:eastAsia="Times New Roman" w:hAnsi="Arial" w:cs="Arial"/>
          <w:i/>
          <w:sz w:val="24"/>
          <w:szCs w:val="24"/>
          <w:lang w:val="en-GB" w:eastAsia="en-GB"/>
        </w:rPr>
        <w:t>Pty</w:t>
      </w:r>
      <w:r w:rsidR="0049189C">
        <w:rPr>
          <w:rFonts w:ascii="Arial" w:eastAsia="Times New Roman" w:hAnsi="Arial" w:cs="Arial"/>
          <w:i/>
          <w:sz w:val="24"/>
          <w:szCs w:val="24"/>
          <w:lang w:val="en-GB" w:eastAsia="en-GB"/>
        </w:rPr>
        <w:t>)</w:t>
      </w:r>
      <w:r w:rsidR="004418DA">
        <w:rPr>
          <w:rFonts w:ascii="Arial" w:eastAsia="Times New Roman" w:hAnsi="Arial" w:cs="Arial"/>
          <w:i/>
          <w:sz w:val="24"/>
          <w:szCs w:val="24"/>
          <w:lang w:val="en-GB" w:eastAsia="en-GB"/>
        </w:rPr>
        <w:t xml:space="preserve"> Ltd v G</w:t>
      </w:r>
      <w:r w:rsidR="00EC40B0" w:rsidRPr="00935D6D">
        <w:rPr>
          <w:rFonts w:ascii="Arial" w:eastAsia="Times New Roman" w:hAnsi="Arial" w:cs="Arial"/>
          <w:i/>
          <w:sz w:val="24"/>
          <w:szCs w:val="24"/>
          <w:lang w:val="en-GB" w:eastAsia="en-GB"/>
        </w:rPr>
        <w:t>overnment of the Republic of South Africa</w:t>
      </w:r>
      <w:r w:rsidR="00EC40B0">
        <w:rPr>
          <w:rFonts w:ascii="Arial" w:eastAsia="Times New Roman" w:hAnsi="Arial" w:cs="Arial"/>
          <w:sz w:val="24"/>
          <w:szCs w:val="24"/>
          <w:lang w:val="en-GB" w:eastAsia="en-GB"/>
        </w:rPr>
        <w:t xml:space="preserve"> 1999 (2) SA 279 (T). Joffe J said the following</w:t>
      </w:r>
      <w:r w:rsidR="005046EB">
        <w:rPr>
          <w:rFonts w:ascii="Arial" w:eastAsia="Times New Roman" w:hAnsi="Arial" w:cs="Arial"/>
          <w:sz w:val="24"/>
          <w:szCs w:val="24"/>
          <w:lang w:val="en-GB" w:eastAsia="en-GB"/>
        </w:rPr>
        <w:t xml:space="preserve"> in relation to the proper use of annexures to affidavits in motion proceedings</w:t>
      </w:r>
      <w:r w:rsidR="00EC40B0">
        <w:rPr>
          <w:rFonts w:ascii="Arial" w:eastAsia="Times New Roman" w:hAnsi="Arial" w:cs="Arial"/>
          <w:sz w:val="24"/>
          <w:szCs w:val="24"/>
          <w:lang w:val="en-GB" w:eastAsia="en-GB"/>
        </w:rPr>
        <w:t>:</w:t>
      </w:r>
    </w:p>
    <w:p w:rsidR="00EC40B0" w:rsidRPr="004418DA" w:rsidRDefault="00EC40B0" w:rsidP="00A826E5">
      <w:pPr>
        <w:spacing w:line="360" w:lineRule="auto"/>
        <w:ind w:left="1440"/>
        <w:jc w:val="both"/>
        <w:rPr>
          <w:rFonts w:ascii="Arial" w:eastAsia="Times New Roman" w:hAnsi="Arial" w:cs="Arial"/>
          <w:lang w:val="en-GB" w:eastAsia="en-GB"/>
        </w:rPr>
      </w:pPr>
      <w:r>
        <w:rPr>
          <w:rFonts w:ascii="Arial" w:eastAsia="Times New Roman" w:hAnsi="Arial" w:cs="Arial"/>
          <w:sz w:val="24"/>
          <w:szCs w:val="24"/>
          <w:lang w:val="en-GB" w:eastAsia="en-GB"/>
        </w:rPr>
        <w:t>‘</w:t>
      </w:r>
      <w:r w:rsidR="004418DA">
        <w:rPr>
          <w:rFonts w:ascii="Arial" w:eastAsia="Times New Roman" w:hAnsi="Arial" w:cs="Arial"/>
          <w:lang w:val="en-GB" w:eastAsia="en-GB"/>
        </w:rPr>
        <w:t>Regard being had</w:t>
      </w:r>
      <w:r w:rsidRPr="004418DA">
        <w:rPr>
          <w:rFonts w:ascii="Arial" w:eastAsia="Times New Roman" w:hAnsi="Arial" w:cs="Arial"/>
          <w:lang w:val="en-GB" w:eastAsia="en-GB"/>
        </w:rPr>
        <w:t xml:space="preserve"> to the function of affidavits, it is not open to an applicant o</w:t>
      </w:r>
      <w:r w:rsidR="004418DA">
        <w:rPr>
          <w:rFonts w:ascii="Arial" w:eastAsia="Times New Roman" w:hAnsi="Arial" w:cs="Arial"/>
          <w:lang w:val="en-GB" w:eastAsia="en-GB"/>
        </w:rPr>
        <w:t>r a respondent to merely annex</w:t>
      </w:r>
      <w:r w:rsidRPr="004418DA">
        <w:rPr>
          <w:rFonts w:ascii="Arial" w:eastAsia="Times New Roman" w:hAnsi="Arial" w:cs="Arial"/>
          <w:lang w:val="en-GB" w:eastAsia="en-GB"/>
        </w:rPr>
        <w:t xml:space="preserve"> to its affidavit do</w:t>
      </w:r>
      <w:r w:rsidR="004418DA">
        <w:rPr>
          <w:rFonts w:ascii="Arial" w:eastAsia="Times New Roman" w:hAnsi="Arial" w:cs="Arial"/>
          <w:lang w:val="en-GB" w:eastAsia="en-GB"/>
        </w:rPr>
        <w:t>cumentation and to request the C</w:t>
      </w:r>
      <w:r w:rsidRPr="004418DA">
        <w:rPr>
          <w:rFonts w:ascii="Arial" w:eastAsia="Times New Roman" w:hAnsi="Arial" w:cs="Arial"/>
          <w:lang w:val="en-GB" w:eastAsia="en-GB"/>
        </w:rPr>
        <w:t>ourt to have regard to it. What is required is the identification of the portions thereof on which reliance is placed and an</w:t>
      </w:r>
      <w:r w:rsidR="004418DA">
        <w:rPr>
          <w:rFonts w:ascii="Arial" w:eastAsia="Times New Roman" w:hAnsi="Arial" w:cs="Arial"/>
          <w:lang w:val="en-GB" w:eastAsia="en-GB"/>
        </w:rPr>
        <w:t xml:space="preserve"> indication of the case which is</w:t>
      </w:r>
      <w:r w:rsidRPr="004418DA">
        <w:rPr>
          <w:rFonts w:ascii="Arial" w:eastAsia="Times New Roman" w:hAnsi="Arial" w:cs="Arial"/>
          <w:lang w:val="en-GB" w:eastAsia="en-GB"/>
        </w:rPr>
        <w:t xml:space="preserve"> sought </w:t>
      </w:r>
      <w:r w:rsidRPr="004418DA">
        <w:rPr>
          <w:rFonts w:ascii="Arial" w:eastAsia="Times New Roman" w:hAnsi="Arial" w:cs="Arial"/>
          <w:lang w:val="en-GB" w:eastAsia="en-GB"/>
        </w:rPr>
        <w:lastRenderedPageBreak/>
        <w:t>to be made out on the strength thereof. If this were not so the essence of our established practice would be destroyed. The party would</w:t>
      </w:r>
      <w:r w:rsidR="004418DA">
        <w:rPr>
          <w:rFonts w:ascii="Arial" w:eastAsia="Times New Roman" w:hAnsi="Arial" w:cs="Arial"/>
          <w:lang w:val="en-GB" w:eastAsia="en-GB"/>
        </w:rPr>
        <w:t xml:space="preserve"> not know what case must be met.</w:t>
      </w:r>
      <w:r w:rsidRPr="004418DA">
        <w:rPr>
          <w:rFonts w:ascii="Arial" w:eastAsia="Times New Roman" w:hAnsi="Arial" w:cs="Arial"/>
          <w:lang w:val="en-GB" w:eastAsia="en-GB"/>
        </w:rPr>
        <w:t>’</w:t>
      </w:r>
      <w:r w:rsidR="004418DA">
        <w:rPr>
          <w:rStyle w:val="FootnoteReference"/>
          <w:rFonts w:ascii="Arial" w:eastAsia="Times New Roman" w:hAnsi="Arial" w:cs="Arial"/>
          <w:lang w:val="en-GB" w:eastAsia="en-GB"/>
        </w:rPr>
        <w:footnoteReference w:id="8"/>
      </w:r>
    </w:p>
    <w:p w:rsidR="00EC40B0" w:rsidRDefault="00A54FBE" w:rsidP="00A826E5">
      <w:pPr>
        <w:spacing w:line="360" w:lineRule="auto"/>
        <w:ind w:left="720" w:hanging="720"/>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[17</w:t>
      </w:r>
      <w:r w:rsidR="004418DA">
        <w:rPr>
          <w:rFonts w:ascii="Arial" w:eastAsia="Times New Roman" w:hAnsi="Arial" w:cs="Arial"/>
          <w:sz w:val="24"/>
          <w:szCs w:val="24"/>
          <w:lang w:val="en-GB" w:eastAsia="en-GB"/>
        </w:rPr>
        <w:t>]</w:t>
      </w:r>
      <w:r w:rsidR="004418DA">
        <w:rPr>
          <w:rFonts w:ascii="Arial" w:eastAsia="Times New Roman" w:hAnsi="Arial" w:cs="Arial"/>
          <w:sz w:val="24"/>
          <w:szCs w:val="24"/>
          <w:lang w:val="en-GB" w:eastAsia="en-GB"/>
        </w:rPr>
        <w:tab/>
        <w:t>I</w:t>
      </w:r>
      <w:r w:rsidR="00EC40B0">
        <w:rPr>
          <w:rFonts w:ascii="Arial" w:eastAsia="Times New Roman" w:hAnsi="Arial" w:cs="Arial"/>
          <w:sz w:val="24"/>
          <w:szCs w:val="24"/>
          <w:lang w:val="en-GB" w:eastAsia="en-GB"/>
        </w:rPr>
        <w:t xml:space="preserve">n </w:t>
      </w:r>
      <w:r w:rsidR="005C4BC0">
        <w:rPr>
          <w:rFonts w:ascii="Arial" w:eastAsia="Times New Roman" w:hAnsi="Arial" w:cs="Arial"/>
          <w:i/>
          <w:sz w:val="24"/>
          <w:szCs w:val="24"/>
          <w:lang w:val="en-GB" w:eastAsia="en-GB"/>
        </w:rPr>
        <w:t>Minister of Land Affairs in A</w:t>
      </w:r>
      <w:r w:rsidR="00EC40B0" w:rsidRPr="00935D6D">
        <w:rPr>
          <w:rFonts w:ascii="Arial" w:eastAsia="Times New Roman" w:hAnsi="Arial" w:cs="Arial"/>
          <w:i/>
          <w:sz w:val="24"/>
          <w:szCs w:val="24"/>
          <w:lang w:val="en-GB" w:eastAsia="en-GB"/>
        </w:rPr>
        <w:t>griculture v D&amp; F Wevell Trust</w:t>
      </w:r>
      <w:r w:rsidR="00EC40B0">
        <w:rPr>
          <w:rFonts w:ascii="Arial" w:eastAsia="Times New Roman" w:hAnsi="Arial" w:cs="Arial"/>
          <w:sz w:val="24"/>
          <w:szCs w:val="24"/>
          <w:lang w:val="en-GB" w:eastAsia="en-GB"/>
        </w:rPr>
        <w:t xml:space="preserve"> 2008 (2) SA 184 (SCA) 184 (SCA), Cloete JA said:</w:t>
      </w:r>
    </w:p>
    <w:p w:rsidR="00EC40B0" w:rsidRPr="004418DA" w:rsidRDefault="00EC40B0" w:rsidP="00A826E5">
      <w:pPr>
        <w:spacing w:line="360" w:lineRule="auto"/>
        <w:ind w:left="1440"/>
        <w:jc w:val="both"/>
        <w:rPr>
          <w:rFonts w:ascii="Arial" w:eastAsia="Times New Roman" w:hAnsi="Arial" w:cs="Arial"/>
          <w:lang w:val="en-GB" w:eastAsia="en-GB"/>
        </w:rPr>
      </w:pPr>
      <w:r>
        <w:rPr>
          <w:rFonts w:ascii="Arial" w:eastAsia="Times New Roman" w:hAnsi="Arial" w:cs="Arial"/>
          <w:sz w:val="24"/>
          <w:szCs w:val="24"/>
          <w:lang w:val="en-GB" w:eastAsia="en-GB"/>
        </w:rPr>
        <w:t>‘</w:t>
      </w:r>
      <w:r w:rsidR="004418DA">
        <w:rPr>
          <w:rFonts w:ascii="Arial" w:eastAsia="Times New Roman" w:hAnsi="Arial" w:cs="Arial"/>
          <w:lang w:val="en-GB" w:eastAsia="en-GB"/>
        </w:rPr>
        <w:t>I</w:t>
      </w:r>
      <w:r w:rsidRPr="004418DA">
        <w:rPr>
          <w:rFonts w:ascii="Arial" w:eastAsia="Times New Roman" w:hAnsi="Arial" w:cs="Arial"/>
          <w:lang w:val="en-GB" w:eastAsia="en-GB"/>
        </w:rPr>
        <w:t>t is not proper for a party in motion proceedings to base an argument on passages i</w:t>
      </w:r>
      <w:r w:rsidR="002D5AF0">
        <w:rPr>
          <w:rFonts w:ascii="Arial" w:eastAsia="Times New Roman" w:hAnsi="Arial" w:cs="Arial"/>
          <w:lang w:val="en-GB" w:eastAsia="en-GB"/>
        </w:rPr>
        <w:t>n documents which have been annexed</w:t>
      </w:r>
      <w:r w:rsidRPr="004418DA">
        <w:rPr>
          <w:rFonts w:ascii="Arial" w:eastAsia="Times New Roman" w:hAnsi="Arial" w:cs="Arial"/>
          <w:lang w:val="en-GB" w:eastAsia="en-GB"/>
        </w:rPr>
        <w:t xml:space="preserve"> to the papers when the conclusions sought to be drawn from such passages have not been canvassed in the affidavits. The reason is manifest –</w:t>
      </w:r>
      <w:r w:rsidR="00935D6D" w:rsidRPr="004418DA">
        <w:rPr>
          <w:rFonts w:ascii="Arial" w:eastAsia="Times New Roman" w:hAnsi="Arial" w:cs="Arial"/>
          <w:lang w:val="en-GB" w:eastAsia="en-GB"/>
        </w:rPr>
        <w:t xml:space="preserve"> the other party may well be prejudiced because evidence may have been available to it to refute the new case on the facts… A party cannot be expected</w:t>
      </w:r>
      <w:r w:rsidR="002D5AF0">
        <w:rPr>
          <w:rFonts w:ascii="Arial" w:eastAsia="Times New Roman" w:hAnsi="Arial" w:cs="Arial"/>
          <w:lang w:val="en-GB" w:eastAsia="en-GB"/>
        </w:rPr>
        <w:t xml:space="preserve"> to trawl through lengthy annexure</w:t>
      </w:r>
      <w:r w:rsidR="00935D6D" w:rsidRPr="004418DA">
        <w:rPr>
          <w:rFonts w:ascii="Arial" w:eastAsia="Times New Roman" w:hAnsi="Arial" w:cs="Arial"/>
          <w:lang w:val="en-GB" w:eastAsia="en-GB"/>
        </w:rPr>
        <w:t xml:space="preserve">s to the </w:t>
      </w:r>
      <w:r w:rsidR="002052AA" w:rsidRPr="004418DA">
        <w:rPr>
          <w:rFonts w:ascii="Arial" w:eastAsia="Times New Roman" w:hAnsi="Arial" w:cs="Arial"/>
          <w:lang w:val="en-GB" w:eastAsia="en-GB"/>
        </w:rPr>
        <w:t>opponent’s</w:t>
      </w:r>
      <w:r w:rsidR="00935D6D" w:rsidRPr="004418DA">
        <w:rPr>
          <w:rFonts w:ascii="Arial" w:eastAsia="Times New Roman" w:hAnsi="Arial" w:cs="Arial"/>
          <w:lang w:val="en-GB" w:eastAsia="en-GB"/>
        </w:rPr>
        <w:t xml:space="preserve"> affidavit and to speculate on the possible relevance of facts therein contained. </w:t>
      </w:r>
      <w:r w:rsidR="002052AA" w:rsidRPr="004418DA">
        <w:rPr>
          <w:rFonts w:ascii="Arial" w:eastAsia="Times New Roman" w:hAnsi="Arial" w:cs="Arial"/>
          <w:lang w:val="en-GB" w:eastAsia="en-GB"/>
        </w:rPr>
        <w:t>Trial by</w:t>
      </w:r>
      <w:r w:rsidR="00935D6D" w:rsidRPr="004418DA">
        <w:rPr>
          <w:rFonts w:ascii="Arial" w:eastAsia="Times New Roman" w:hAnsi="Arial" w:cs="Arial"/>
          <w:lang w:val="en-GB" w:eastAsia="en-GB"/>
        </w:rPr>
        <w:t xml:space="preserve"> ambush cannot be permitted.’</w:t>
      </w:r>
      <w:r w:rsidR="004418DA">
        <w:rPr>
          <w:rStyle w:val="FootnoteReference"/>
          <w:rFonts w:ascii="Arial" w:eastAsia="Times New Roman" w:hAnsi="Arial" w:cs="Arial"/>
          <w:lang w:val="en-GB" w:eastAsia="en-GB"/>
        </w:rPr>
        <w:footnoteReference w:id="9"/>
      </w:r>
    </w:p>
    <w:p w:rsidR="007C651F" w:rsidRDefault="00A54FBE" w:rsidP="00A826E5">
      <w:pPr>
        <w:spacing w:line="360" w:lineRule="auto"/>
        <w:ind w:left="720" w:hanging="720"/>
        <w:jc w:val="both"/>
        <w:rPr>
          <w:rFonts w:ascii="Arial" w:eastAsia="Times New Roman" w:hAnsi="Arial" w:cs="Arial"/>
          <w:bCs/>
          <w:sz w:val="24"/>
          <w:szCs w:val="24"/>
        </w:rPr>
      </w:pPr>
      <w:r>
        <w:rPr>
          <w:rFonts w:ascii="Arial" w:eastAsia="Times New Roman" w:hAnsi="Arial" w:cs="Arial"/>
          <w:bCs/>
          <w:sz w:val="24"/>
          <w:szCs w:val="24"/>
        </w:rPr>
        <w:t>[18</w:t>
      </w:r>
      <w:r w:rsidR="00935D6D">
        <w:rPr>
          <w:rFonts w:ascii="Arial" w:eastAsia="Times New Roman" w:hAnsi="Arial" w:cs="Arial"/>
          <w:bCs/>
          <w:sz w:val="24"/>
          <w:szCs w:val="24"/>
        </w:rPr>
        <w:t>]</w:t>
      </w:r>
      <w:r w:rsidR="00935D6D">
        <w:rPr>
          <w:rFonts w:ascii="Arial" w:eastAsia="Times New Roman" w:hAnsi="Arial" w:cs="Arial"/>
          <w:bCs/>
          <w:sz w:val="24"/>
          <w:szCs w:val="24"/>
        </w:rPr>
        <w:tab/>
        <w:t xml:space="preserve">In this court, in </w:t>
      </w:r>
      <w:r w:rsidR="00935D6D" w:rsidRPr="00935D6D">
        <w:rPr>
          <w:rFonts w:ascii="Arial" w:eastAsia="Times New Roman" w:hAnsi="Arial" w:cs="Arial"/>
          <w:bCs/>
          <w:i/>
          <w:sz w:val="24"/>
          <w:szCs w:val="24"/>
        </w:rPr>
        <w:t>Wood v Potane NO &amp; others</w:t>
      </w:r>
      <w:r w:rsidR="00935D6D">
        <w:rPr>
          <w:rFonts w:ascii="Arial" w:eastAsia="Times New Roman" w:hAnsi="Arial" w:cs="Arial"/>
          <w:bCs/>
          <w:sz w:val="24"/>
          <w:szCs w:val="24"/>
        </w:rPr>
        <w:t xml:space="preserve"> [2004] 7 BLLR 722 (LC) Tokota AJ held:</w:t>
      </w:r>
    </w:p>
    <w:p w:rsidR="00935D6D" w:rsidRDefault="004418DA" w:rsidP="00A826E5">
      <w:pPr>
        <w:spacing w:line="360" w:lineRule="auto"/>
        <w:ind w:left="1440"/>
        <w:jc w:val="both"/>
        <w:rPr>
          <w:rFonts w:ascii="Arial" w:eastAsia="Times New Roman" w:hAnsi="Arial" w:cs="Arial"/>
          <w:bCs/>
          <w:sz w:val="24"/>
          <w:szCs w:val="24"/>
        </w:rPr>
      </w:pPr>
      <w:r>
        <w:rPr>
          <w:rFonts w:ascii="Arial" w:eastAsia="Times New Roman" w:hAnsi="Arial" w:cs="Arial"/>
          <w:bCs/>
          <w:sz w:val="24"/>
          <w:szCs w:val="24"/>
        </w:rPr>
        <w:t>‘</w:t>
      </w:r>
      <w:r w:rsidRPr="004418DA">
        <w:rPr>
          <w:rFonts w:ascii="Arial" w:eastAsia="Times New Roman" w:hAnsi="Arial" w:cs="Arial"/>
          <w:bCs/>
        </w:rPr>
        <w:t>I</w:t>
      </w:r>
      <w:r w:rsidR="00935D6D" w:rsidRPr="004418DA">
        <w:rPr>
          <w:rFonts w:ascii="Arial" w:eastAsia="Times New Roman" w:hAnsi="Arial" w:cs="Arial"/>
          <w:bCs/>
        </w:rPr>
        <w:t>t would have saved a lot of time and money if parties had refrained from attaching unnecessary documents, which neither advanced the case nor were they of any assistance to the court in any way. It is no</w:t>
      </w:r>
      <w:r>
        <w:rPr>
          <w:rFonts w:ascii="Arial" w:eastAsia="Times New Roman" w:hAnsi="Arial" w:cs="Arial"/>
          <w:bCs/>
        </w:rPr>
        <w:t>t enough to simply attach annexure</w:t>
      </w:r>
      <w:r w:rsidR="00935D6D" w:rsidRPr="004418DA">
        <w:rPr>
          <w:rFonts w:ascii="Arial" w:eastAsia="Times New Roman" w:hAnsi="Arial" w:cs="Arial"/>
          <w:bCs/>
        </w:rPr>
        <w:t>s without drawing the court attention to the portions on which rel</w:t>
      </w:r>
      <w:r>
        <w:rPr>
          <w:rFonts w:ascii="Arial" w:eastAsia="Times New Roman" w:hAnsi="Arial" w:cs="Arial"/>
          <w:bCs/>
        </w:rPr>
        <w:t>iance is placed on those annexures</w:t>
      </w:r>
      <w:r w:rsidR="00935D6D" w:rsidRPr="004418DA">
        <w:rPr>
          <w:rFonts w:ascii="Arial" w:eastAsia="Times New Roman" w:hAnsi="Arial" w:cs="Arial"/>
          <w:bCs/>
        </w:rPr>
        <w:t>.</w:t>
      </w:r>
      <w:r>
        <w:rPr>
          <w:rStyle w:val="FootnoteReference"/>
          <w:rFonts w:ascii="Arial" w:eastAsia="Times New Roman" w:hAnsi="Arial" w:cs="Arial"/>
          <w:bCs/>
        </w:rPr>
        <w:footnoteReference w:id="10"/>
      </w:r>
    </w:p>
    <w:p w:rsidR="00935D6D" w:rsidRPr="001D6384" w:rsidRDefault="00A54FBE" w:rsidP="00A826E5">
      <w:pPr>
        <w:spacing w:line="360" w:lineRule="auto"/>
        <w:ind w:left="720" w:hanging="720"/>
        <w:jc w:val="both"/>
        <w:rPr>
          <w:rFonts w:ascii="Arial" w:eastAsia="Times New Roman" w:hAnsi="Arial" w:cs="Arial"/>
          <w:bCs/>
          <w:sz w:val="24"/>
          <w:szCs w:val="24"/>
        </w:rPr>
      </w:pPr>
      <w:r>
        <w:rPr>
          <w:rFonts w:ascii="Arial" w:eastAsia="Times New Roman" w:hAnsi="Arial" w:cs="Arial"/>
          <w:bCs/>
          <w:sz w:val="24"/>
          <w:szCs w:val="24"/>
        </w:rPr>
        <w:t>[19</w:t>
      </w:r>
      <w:r w:rsidR="00935D6D">
        <w:rPr>
          <w:rFonts w:ascii="Arial" w:eastAsia="Times New Roman" w:hAnsi="Arial" w:cs="Arial"/>
          <w:bCs/>
          <w:sz w:val="24"/>
          <w:szCs w:val="24"/>
        </w:rPr>
        <w:t>]</w:t>
      </w:r>
      <w:r w:rsidR="00935D6D">
        <w:rPr>
          <w:rFonts w:ascii="Arial" w:eastAsia="Times New Roman" w:hAnsi="Arial" w:cs="Arial"/>
          <w:bCs/>
          <w:sz w:val="24"/>
          <w:szCs w:val="24"/>
        </w:rPr>
        <w:tab/>
        <w:t>While the prospect of a trial by ambush and the po</w:t>
      </w:r>
      <w:r w:rsidR="004418DA">
        <w:rPr>
          <w:rFonts w:ascii="Arial" w:eastAsia="Times New Roman" w:hAnsi="Arial" w:cs="Arial"/>
          <w:bCs/>
          <w:sz w:val="24"/>
          <w:szCs w:val="24"/>
        </w:rPr>
        <w:t>tential prejudice that it may have caused</w:t>
      </w:r>
      <w:r w:rsidR="00935D6D">
        <w:rPr>
          <w:rFonts w:ascii="Arial" w:eastAsia="Times New Roman" w:hAnsi="Arial" w:cs="Arial"/>
          <w:bCs/>
          <w:sz w:val="24"/>
          <w:szCs w:val="24"/>
        </w:rPr>
        <w:t xml:space="preserve"> was to some exte</w:t>
      </w:r>
      <w:r w:rsidR="004418DA">
        <w:rPr>
          <w:rFonts w:ascii="Arial" w:eastAsia="Times New Roman" w:hAnsi="Arial" w:cs="Arial"/>
          <w:bCs/>
          <w:sz w:val="24"/>
          <w:szCs w:val="24"/>
        </w:rPr>
        <w:t xml:space="preserve">nt attenuated by </w:t>
      </w:r>
      <w:r w:rsidR="00E71E8B">
        <w:rPr>
          <w:rFonts w:ascii="Arial" w:eastAsia="Times New Roman" w:hAnsi="Arial" w:cs="Arial"/>
          <w:bCs/>
          <w:sz w:val="24"/>
          <w:szCs w:val="24"/>
        </w:rPr>
        <w:t xml:space="preserve">the </w:t>
      </w:r>
      <w:r w:rsidR="00935D6D">
        <w:rPr>
          <w:rFonts w:ascii="Arial" w:eastAsia="Times New Roman" w:hAnsi="Arial" w:cs="Arial"/>
          <w:bCs/>
          <w:sz w:val="24"/>
          <w:szCs w:val="24"/>
        </w:rPr>
        <w:t xml:space="preserve">assurance </w:t>
      </w:r>
      <w:r w:rsidR="00E71E8B">
        <w:rPr>
          <w:rFonts w:ascii="Arial" w:eastAsia="Times New Roman" w:hAnsi="Arial" w:cs="Arial"/>
          <w:bCs/>
          <w:sz w:val="24"/>
          <w:szCs w:val="24"/>
        </w:rPr>
        <w:t xml:space="preserve">given by </w:t>
      </w:r>
      <w:r w:rsidR="00790F45">
        <w:rPr>
          <w:rFonts w:ascii="Arial" w:eastAsia="Times New Roman" w:hAnsi="Arial" w:cs="Arial"/>
          <w:bCs/>
          <w:sz w:val="24"/>
          <w:szCs w:val="24"/>
        </w:rPr>
        <w:t>Mr.</w:t>
      </w:r>
      <w:r w:rsidR="00E71E8B">
        <w:rPr>
          <w:rFonts w:ascii="Arial" w:eastAsia="Times New Roman" w:hAnsi="Arial" w:cs="Arial"/>
          <w:bCs/>
          <w:sz w:val="24"/>
          <w:szCs w:val="24"/>
        </w:rPr>
        <w:t xml:space="preserve"> Kennedy SC, who appeared for AMCU, </w:t>
      </w:r>
      <w:r w:rsidR="00935D6D">
        <w:rPr>
          <w:rFonts w:ascii="Arial" w:eastAsia="Times New Roman" w:hAnsi="Arial" w:cs="Arial"/>
          <w:bCs/>
          <w:sz w:val="24"/>
          <w:szCs w:val="24"/>
        </w:rPr>
        <w:t>that he did not intend to trawl through</w:t>
      </w:r>
      <w:r w:rsidR="00E71E8B">
        <w:rPr>
          <w:rFonts w:ascii="Arial" w:eastAsia="Times New Roman" w:hAnsi="Arial" w:cs="Arial"/>
          <w:bCs/>
          <w:sz w:val="24"/>
          <w:szCs w:val="24"/>
        </w:rPr>
        <w:t xml:space="preserve"> each of</w:t>
      </w:r>
      <w:r w:rsidR="00935D6D">
        <w:rPr>
          <w:rFonts w:ascii="Arial" w:eastAsia="Times New Roman" w:hAnsi="Arial" w:cs="Arial"/>
          <w:bCs/>
          <w:sz w:val="24"/>
          <w:szCs w:val="24"/>
        </w:rPr>
        <w:t xml:space="preserve"> the annexures and </w:t>
      </w:r>
      <w:r w:rsidR="004418DA">
        <w:rPr>
          <w:rFonts w:ascii="Arial" w:eastAsia="Times New Roman" w:hAnsi="Arial" w:cs="Arial"/>
          <w:bCs/>
          <w:sz w:val="24"/>
          <w:szCs w:val="24"/>
        </w:rPr>
        <w:t>that they had been filed simply</w:t>
      </w:r>
      <w:r w:rsidR="00935D6D">
        <w:rPr>
          <w:rFonts w:ascii="Arial" w:eastAsia="Times New Roman" w:hAnsi="Arial" w:cs="Arial"/>
          <w:bCs/>
          <w:sz w:val="24"/>
          <w:szCs w:val="24"/>
        </w:rPr>
        <w:t xml:space="preserve"> to provide support for AMCU’s submissions regarding the relevance of the report</w:t>
      </w:r>
      <w:r w:rsidR="005C4BC0">
        <w:rPr>
          <w:rFonts w:ascii="Arial" w:eastAsia="Times New Roman" w:hAnsi="Arial" w:cs="Arial"/>
          <w:bCs/>
          <w:sz w:val="24"/>
          <w:szCs w:val="24"/>
        </w:rPr>
        <w:t>s for</w:t>
      </w:r>
      <w:r w:rsidR="00935D6D">
        <w:rPr>
          <w:rFonts w:ascii="Arial" w:eastAsia="Times New Roman" w:hAnsi="Arial" w:cs="Arial"/>
          <w:bCs/>
          <w:sz w:val="24"/>
          <w:szCs w:val="24"/>
        </w:rPr>
        <w:t xml:space="preserve"> the determination of a </w:t>
      </w:r>
      <w:r w:rsidR="005C4BC0">
        <w:rPr>
          <w:rFonts w:ascii="Arial" w:eastAsia="Times New Roman" w:hAnsi="Arial" w:cs="Arial"/>
          <w:bCs/>
          <w:sz w:val="24"/>
          <w:szCs w:val="24"/>
        </w:rPr>
        <w:t>‘</w:t>
      </w:r>
      <w:r w:rsidR="00935D6D">
        <w:rPr>
          <w:rFonts w:ascii="Arial" w:eastAsia="Times New Roman" w:hAnsi="Arial" w:cs="Arial"/>
          <w:bCs/>
          <w:sz w:val="24"/>
          <w:szCs w:val="24"/>
        </w:rPr>
        <w:t>workplace</w:t>
      </w:r>
      <w:r w:rsidR="005C4BC0">
        <w:rPr>
          <w:rFonts w:ascii="Arial" w:eastAsia="Times New Roman" w:hAnsi="Arial" w:cs="Arial"/>
          <w:bCs/>
          <w:sz w:val="24"/>
          <w:szCs w:val="24"/>
        </w:rPr>
        <w:t>’</w:t>
      </w:r>
      <w:r w:rsidR="00935D6D">
        <w:rPr>
          <w:rFonts w:ascii="Arial" w:eastAsia="Times New Roman" w:hAnsi="Arial" w:cs="Arial"/>
          <w:bCs/>
          <w:sz w:val="24"/>
          <w:szCs w:val="24"/>
        </w:rPr>
        <w:t xml:space="preserve"> for the purposes of s 23 (1) (d), the fact remains that the record has been unnecessarily burdened by thousands of pages of documents which </w:t>
      </w:r>
      <w:r w:rsidR="00935D6D">
        <w:rPr>
          <w:rFonts w:ascii="Arial" w:eastAsia="Times New Roman" w:hAnsi="Arial" w:cs="Arial"/>
          <w:bCs/>
          <w:sz w:val="24"/>
          <w:szCs w:val="24"/>
        </w:rPr>
        <w:lastRenderedPageBreak/>
        <w:t>might have been made available (should that</w:t>
      </w:r>
      <w:r w:rsidR="00E71E8B">
        <w:rPr>
          <w:rFonts w:ascii="Arial" w:eastAsia="Times New Roman" w:hAnsi="Arial" w:cs="Arial"/>
          <w:bCs/>
          <w:sz w:val="24"/>
          <w:szCs w:val="24"/>
        </w:rPr>
        <w:t xml:space="preserve"> have </w:t>
      </w:r>
      <w:r w:rsidR="00935D6D">
        <w:rPr>
          <w:rFonts w:ascii="Arial" w:eastAsia="Times New Roman" w:hAnsi="Arial" w:cs="Arial"/>
          <w:bCs/>
          <w:sz w:val="24"/>
          <w:szCs w:val="24"/>
        </w:rPr>
        <w:t>be</w:t>
      </w:r>
      <w:r w:rsidR="00E71E8B">
        <w:rPr>
          <w:rFonts w:ascii="Arial" w:eastAsia="Times New Roman" w:hAnsi="Arial" w:cs="Arial"/>
          <w:bCs/>
          <w:sz w:val="24"/>
          <w:szCs w:val="24"/>
        </w:rPr>
        <w:t>en</w:t>
      </w:r>
      <w:r w:rsidR="00935D6D">
        <w:rPr>
          <w:rFonts w:ascii="Arial" w:eastAsia="Times New Roman" w:hAnsi="Arial" w:cs="Arial"/>
          <w:bCs/>
          <w:sz w:val="24"/>
          <w:szCs w:val="24"/>
        </w:rPr>
        <w:t xml:space="preserve"> necessary) by means other than annexing them to the supplementary affidavit. </w:t>
      </w:r>
      <w:r w:rsidR="00AE037B">
        <w:rPr>
          <w:rFonts w:ascii="Arial" w:eastAsia="Times New Roman" w:hAnsi="Arial" w:cs="Arial"/>
          <w:bCs/>
          <w:sz w:val="24"/>
          <w:szCs w:val="24"/>
        </w:rPr>
        <w:t xml:space="preserve">AMCU has used the supplementary affidavit merely to annex a document, and then request the court to have regard to it. </w:t>
      </w:r>
      <w:r w:rsidR="00935D6D">
        <w:rPr>
          <w:rFonts w:ascii="Arial" w:eastAsia="Times New Roman" w:hAnsi="Arial" w:cs="Arial"/>
          <w:bCs/>
          <w:sz w:val="24"/>
          <w:szCs w:val="24"/>
        </w:rPr>
        <w:t>The annexures serve n</w:t>
      </w:r>
      <w:r w:rsidR="005C4BC0">
        <w:rPr>
          <w:rFonts w:ascii="Arial" w:eastAsia="Times New Roman" w:hAnsi="Arial" w:cs="Arial"/>
          <w:bCs/>
          <w:sz w:val="24"/>
          <w:szCs w:val="24"/>
        </w:rPr>
        <w:t>o purpose</w:t>
      </w:r>
      <w:r w:rsidR="00491021">
        <w:rPr>
          <w:rFonts w:ascii="Arial" w:eastAsia="Times New Roman" w:hAnsi="Arial" w:cs="Arial"/>
          <w:bCs/>
          <w:sz w:val="24"/>
          <w:szCs w:val="24"/>
        </w:rPr>
        <w:t xml:space="preserve">, </w:t>
      </w:r>
      <w:r w:rsidR="005C4BC0">
        <w:rPr>
          <w:rFonts w:ascii="Arial" w:eastAsia="Times New Roman" w:hAnsi="Arial" w:cs="Arial"/>
          <w:bCs/>
          <w:sz w:val="24"/>
          <w:szCs w:val="24"/>
        </w:rPr>
        <w:t xml:space="preserve">other than to assert that the reports that they comprise were submitted on a mine-by-mine basis. This much </w:t>
      </w:r>
      <w:r w:rsidR="00491021">
        <w:rPr>
          <w:rFonts w:ascii="Arial" w:eastAsia="Times New Roman" w:hAnsi="Arial" w:cs="Arial"/>
          <w:bCs/>
          <w:sz w:val="24"/>
          <w:szCs w:val="24"/>
        </w:rPr>
        <w:t>is the subject of</w:t>
      </w:r>
      <w:r w:rsidR="002D5AF0">
        <w:rPr>
          <w:rFonts w:ascii="Arial" w:eastAsia="Times New Roman" w:hAnsi="Arial" w:cs="Arial"/>
          <w:bCs/>
          <w:sz w:val="24"/>
          <w:szCs w:val="24"/>
        </w:rPr>
        <w:t xml:space="preserve"> a series of</w:t>
      </w:r>
      <w:r w:rsidR="00491021">
        <w:rPr>
          <w:rFonts w:ascii="Arial" w:eastAsia="Times New Roman" w:hAnsi="Arial" w:cs="Arial"/>
          <w:bCs/>
          <w:sz w:val="24"/>
          <w:szCs w:val="24"/>
        </w:rPr>
        <w:t xml:space="preserve"> (uncontested) averments in the supplementary </w:t>
      </w:r>
      <w:r w:rsidR="00650C36">
        <w:rPr>
          <w:rFonts w:ascii="Arial" w:eastAsia="Times New Roman" w:hAnsi="Arial" w:cs="Arial"/>
          <w:bCs/>
          <w:sz w:val="24"/>
          <w:szCs w:val="24"/>
        </w:rPr>
        <w:t xml:space="preserve">answering </w:t>
      </w:r>
      <w:r w:rsidR="00491021">
        <w:rPr>
          <w:rFonts w:ascii="Arial" w:eastAsia="Times New Roman" w:hAnsi="Arial" w:cs="Arial"/>
          <w:bCs/>
          <w:sz w:val="24"/>
          <w:szCs w:val="24"/>
        </w:rPr>
        <w:t xml:space="preserve">affidavit. </w:t>
      </w:r>
      <w:r w:rsidR="00D531B0">
        <w:rPr>
          <w:rFonts w:ascii="Arial" w:eastAsia="Times New Roman" w:hAnsi="Arial" w:cs="Arial"/>
          <w:bCs/>
          <w:sz w:val="24"/>
          <w:szCs w:val="24"/>
        </w:rPr>
        <w:t>As matters transpired</w:t>
      </w:r>
      <w:r w:rsidR="00650C36">
        <w:rPr>
          <w:rFonts w:ascii="Arial" w:eastAsia="Times New Roman" w:hAnsi="Arial" w:cs="Arial"/>
          <w:bCs/>
          <w:sz w:val="24"/>
          <w:szCs w:val="24"/>
        </w:rPr>
        <w:t>, not a single one of the annexures</w:t>
      </w:r>
      <w:r w:rsidR="00D531B0">
        <w:rPr>
          <w:rFonts w:ascii="Arial" w:eastAsia="Times New Roman" w:hAnsi="Arial" w:cs="Arial"/>
          <w:bCs/>
          <w:sz w:val="24"/>
          <w:szCs w:val="24"/>
        </w:rPr>
        <w:t xml:space="preserve"> was referred to during the course of argument. </w:t>
      </w:r>
      <w:r w:rsidR="00E71E8B">
        <w:rPr>
          <w:rFonts w:ascii="Arial" w:eastAsia="Times New Roman" w:hAnsi="Arial" w:cs="Arial"/>
          <w:bCs/>
          <w:sz w:val="24"/>
          <w:szCs w:val="24"/>
        </w:rPr>
        <w:t xml:space="preserve">The annexures are irrelevant and serve only to further burden an already substantial record. </w:t>
      </w:r>
      <w:r w:rsidR="00491021" w:rsidRPr="005C4BC0">
        <w:rPr>
          <w:rFonts w:ascii="Arial" w:eastAsia="Times New Roman" w:hAnsi="Arial" w:cs="Arial"/>
          <w:bCs/>
          <w:sz w:val="24"/>
          <w:szCs w:val="24"/>
        </w:rPr>
        <w:t>For th</w:t>
      </w:r>
      <w:r w:rsidR="00D531B0">
        <w:rPr>
          <w:rFonts w:ascii="Arial" w:eastAsia="Times New Roman" w:hAnsi="Arial" w:cs="Arial"/>
          <w:bCs/>
          <w:sz w:val="24"/>
          <w:szCs w:val="24"/>
        </w:rPr>
        <w:t>ese</w:t>
      </w:r>
      <w:r w:rsidR="005573B0">
        <w:rPr>
          <w:rFonts w:ascii="Arial" w:eastAsia="Times New Roman" w:hAnsi="Arial" w:cs="Arial"/>
          <w:bCs/>
          <w:sz w:val="24"/>
          <w:szCs w:val="24"/>
        </w:rPr>
        <w:t xml:space="preserve"> reason</w:t>
      </w:r>
      <w:r w:rsidR="00D531B0">
        <w:rPr>
          <w:rFonts w:ascii="Arial" w:eastAsia="Times New Roman" w:hAnsi="Arial" w:cs="Arial"/>
          <w:bCs/>
          <w:sz w:val="24"/>
          <w:szCs w:val="24"/>
        </w:rPr>
        <w:t>s</w:t>
      </w:r>
      <w:r w:rsidR="005573B0">
        <w:rPr>
          <w:rFonts w:ascii="Arial" w:eastAsia="Times New Roman" w:hAnsi="Arial" w:cs="Arial"/>
          <w:bCs/>
          <w:sz w:val="24"/>
          <w:szCs w:val="24"/>
        </w:rPr>
        <w:t>, I intend to grant an order striking</w:t>
      </w:r>
      <w:r w:rsidR="00491021" w:rsidRPr="005C4BC0">
        <w:rPr>
          <w:rFonts w:ascii="Arial" w:eastAsia="Times New Roman" w:hAnsi="Arial" w:cs="Arial"/>
          <w:bCs/>
          <w:sz w:val="24"/>
          <w:szCs w:val="24"/>
        </w:rPr>
        <w:t xml:space="preserve"> out t</w:t>
      </w:r>
      <w:r w:rsidR="00491021">
        <w:rPr>
          <w:rFonts w:ascii="Arial" w:eastAsia="Times New Roman" w:hAnsi="Arial" w:cs="Arial"/>
          <w:bCs/>
          <w:sz w:val="24"/>
          <w:szCs w:val="24"/>
        </w:rPr>
        <w:t>he annexures.</w:t>
      </w:r>
    </w:p>
    <w:p w:rsidR="00650C36" w:rsidRDefault="004418DA" w:rsidP="00D531B0">
      <w:pPr>
        <w:pStyle w:val="ClaireNew"/>
        <w:numPr>
          <w:ilvl w:val="0"/>
          <w:numId w:val="0"/>
        </w:numPr>
        <w:spacing w:before="240" w:after="120"/>
        <w:ind w:left="720" w:hanging="720"/>
        <w:rPr>
          <w:rFonts w:ascii="Arial" w:hAnsi="Arial"/>
          <w:szCs w:val="24"/>
        </w:rPr>
      </w:pPr>
      <w:r>
        <w:rPr>
          <w:rFonts w:ascii="Arial" w:hAnsi="Arial"/>
          <w:szCs w:val="24"/>
        </w:rPr>
        <w:t xml:space="preserve"> </w:t>
      </w:r>
      <w:r w:rsidR="00A54FBE">
        <w:rPr>
          <w:rFonts w:ascii="Arial" w:hAnsi="Arial"/>
          <w:szCs w:val="24"/>
        </w:rPr>
        <w:t>[20</w:t>
      </w:r>
      <w:r w:rsidR="00DC5098">
        <w:rPr>
          <w:rFonts w:ascii="Arial" w:hAnsi="Arial"/>
          <w:szCs w:val="24"/>
        </w:rPr>
        <w:t>]</w:t>
      </w:r>
      <w:r w:rsidR="00DC5098">
        <w:rPr>
          <w:rFonts w:ascii="Arial" w:hAnsi="Arial"/>
          <w:szCs w:val="24"/>
        </w:rPr>
        <w:tab/>
      </w:r>
      <w:r w:rsidR="00491021">
        <w:rPr>
          <w:rFonts w:ascii="Arial" w:hAnsi="Arial"/>
          <w:szCs w:val="24"/>
        </w:rPr>
        <w:t>I turn next to the merits of the main application</w:t>
      </w:r>
      <w:r w:rsidR="00D531B0">
        <w:rPr>
          <w:rFonts w:ascii="Arial" w:hAnsi="Arial"/>
          <w:szCs w:val="24"/>
        </w:rPr>
        <w:t xml:space="preserve"> and deal first with the submission that the wage agreement constituted a sectoral agreement and that </w:t>
      </w:r>
      <w:r w:rsidR="00E71E8B">
        <w:rPr>
          <w:rFonts w:ascii="Arial" w:hAnsi="Arial"/>
          <w:szCs w:val="24"/>
        </w:rPr>
        <w:t xml:space="preserve">s 23 (1) (d) is thus </w:t>
      </w:r>
      <w:r w:rsidR="00D531B0">
        <w:rPr>
          <w:rFonts w:ascii="Arial" w:hAnsi="Arial"/>
          <w:szCs w:val="24"/>
        </w:rPr>
        <w:t xml:space="preserve">not applicable. As I understood the submission, the extension of the wage </w:t>
      </w:r>
      <w:r w:rsidR="0049189C">
        <w:rPr>
          <w:rFonts w:ascii="Arial" w:hAnsi="Arial"/>
          <w:szCs w:val="24"/>
        </w:rPr>
        <w:t>agreement falls to be regulated</w:t>
      </w:r>
      <w:r w:rsidR="00E71E8B">
        <w:rPr>
          <w:rFonts w:ascii="Arial" w:hAnsi="Arial"/>
          <w:szCs w:val="24"/>
        </w:rPr>
        <w:t xml:space="preserve"> by</w:t>
      </w:r>
      <w:r w:rsidR="0049189C">
        <w:rPr>
          <w:rFonts w:ascii="Arial" w:hAnsi="Arial"/>
          <w:szCs w:val="24"/>
        </w:rPr>
        <w:t xml:space="preserve"> s 32 of the LRA. </w:t>
      </w:r>
      <w:r w:rsidR="00D531B0">
        <w:rPr>
          <w:rFonts w:ascii="Arial" w:hAnsi="Arial"/>
          <w:szCs w:val="24"/>
        </w:rPr>
        <w:t>Section 32 provides for the extension of collective agreement</w:t>
      </w:r>
      <w:r w:rsidR="0049189C">
        <w:rPr>
          <w:rFonts w:ascii="Arial" w:hAnsi="Arial"/>
          <w:szCs w:val="24"/>
        </w:rPr>
        <w:t>s</w:t>
      </w:r>
      <w:r w:rsidR="00D531B0">
        <w:rPr>
          <w:rFonts w:ascii="Arial" w:hAnsi="Arial"/>
          <w:szCs w:val="24"/>
        </w:rPr>
        <w:t xml:space="preserve"> co</w:t>
      </w:r>
      <w:r w:rsidR="00650C36">
        <w:rPr>
          <w:rFonts w:ascii="Arial" w:hAnsi="Arial"/>
          <w:szCs w:val="24"/>
        </w:rPr>
        <w:t>ncluded in a bargaining council.</w:t>
      </w:r>
      <w:r w:rsidR="00D531B0">
        <w:rPr>
          <w:rFonts w:ascii="Arial" w:hAnsi="Arial"/>
          <w:szCs w:val="24"/>
        </w:rPr>
        <w:t xml:space="preserve"> </w:t>
      </w:r>
      <w:r w:rsidR="00E71E8B">
        <w:rPr>
          <w:rFonts w:ascii="Arial" w:hAnsi="Arial"/>
          <w:szCs w:val="24"/>
        </w:rPr>
        <w:t xml:space="preserve">Bargaining councils are registered for defined sectors and areas, and the conditions applicable to extension </w:t>
      </w:r>
      <w:r w:rsidR="00650C36">
        <w:rPr>
          <w:rFonts w:ascii="Arial" w:hAnsi="Arial"/>
          <w:szCs w:val="24"/>
        </w:rPr>
        <w:t xml:space="preserve">to non-party employers and employees </w:t>
      </w:r>
      <w:r w:rsidR="00E71E8B">
        <w:rPr>
          <w:rFonts w:ascii="Arial" w:hAnsi="Arial"/>
          <w:szCs w:val="24"/>
        </w:rPr>
        <w:t xml:space="preserve">are limited, amongst other things, </w:t>
      </w:r>
      <w:r w:rsidR="00650C36">
        <w:rPr>
          <w:rFonts w:ascii="Arial" w:hAnsi="Arial"/>
          <w:szCs w:val="24"/>
        </w:rPr>
        <w:t xml:space="preserve">by representativity thresholds </w:t>
      </w:r>
      <w:r w:rsidR="0049189C">
        <w:rPr>
          <w:rFonts w:ascii="Arial" w:hAnsi="Arial"/>
          <w:szCs w:val="24"/>
        </w:rPr>
        <w:t xml:space="preserve">that must be met </w:t>
      </w:r>
      <w:r w:rsidR="00650C36">
        <w:rPr>
          <w:rFonts w:ascii="Arial" w:hAnsi="Arial"/>
          <w:szCs w:val="24"/>
        </w:rPr>
        <w:t xml:space="preserve">both in relation to the conclusion of the agreement and upon its extension. </w:t>
      </w:r>
    </w:p>
    <w:p w:rsidR="00D531B0" w:rsidRDefault="00A54FBE" w:rsidP="00D531B0">
      <w:pPr>
        <w:pStyle w:val="ClaireNew"/>
        <w:numPr>
          <w:ilvl w:val="0"/>
          <w:numId w:val="0"/>
        </w:numPr>
        <w:spacing w:before="240" w:after="120"/>
        <w:ind w:left="720" w:hanging="720"/>
        <w:rPr>
          <w:rFonts w:ascii="Arial" w:hAnsi="Arial"/>
          <w:szCs w:val="24"/>
        </w:rPr>
      </w:pPr>
      <w:r>
        <w:rPr>
          <w:rFonts w:ascii="Arial" w:hAnsi="Arial"/>
          <w:szCs w:val="24"/>
        </w:rPr>
        <w:t>[21</w:t>
      </w:r>
      <w:r w:rsidR="00650C36">
        <w:rPr>
          <w:rFonts w:ascii="Arial" w:hAnsi="Arial"/>
          <w:szCs w:val="24"/>
        </w:rPr>
        <w:t>]</w:t>
      </w:r>
      <w:r w:rsidR="00650C36">
        <w:rPr>
          <w:rFonts w:ascii="Arial" w:hAnsi="Arial"/>
          <w:szCs w:val="24"/>
        </w:rPr>
        <w:tab/>
      </w:r>
      <w:r w:rsidR="006959EE">
        <w:rPr>
          <w:rFonts w:ascii="Arial" w:hAnsi="Arial"/>
          <w:szCs w:val="24"/>
        </w:rPr>
        <w:t xml:space="preserve">The application of s 32 is not dependent on the nature of the agreement sought to be extended; rather, it is concerned with the nature of the institution in which the agreement is concluded. </w:t>
      </w:r>
      <w:r w:rsidR="00E71E8B">
        <w:rPr>
          <w:rFonts w:ascii="Arial" w:hAnsi="Arial"/>
          <w:szCs w:val="24"/>
        </w:rPr>
        <w:t>In the present instance, t</w:t>
      </w:r>
      <w:r w:rsidR="00D531B0">
        <w:rPr>
          <w:rFonts w:ascii="Arial" w:hAnsi="Arial"/>
          <w:szCs w:val="24"/>
        </w:rPr>
        <w:t>he wage agreement was not co</w:t>
      </w:r>
      <w:r w:rsidR="00650C36">
        <w:rPr>
          <w:rFonts w:ascii="Arial" w:hAnsi="Arial"/>
          <w:szCs w:val="24"/>
        </w:rPr>
        <w:t>ncluded in a bargaining council. Collective bargaining took place, as it has for many years, in a non- statutory forum. Al</w:t>
      </w:r>
      <w:r w:rsidR="006959EE">
        <w:rPr>
          <w:rFonts w:ascii="Arial" w:hAnsi="Arial"/>
          <w:szCs w:val="24"/>
        </w:rPr>
        <w:t xml:space="preserve">though negotiations were </w:t>
      </w:r>
      <w:r w:rsidR="00E71E8B">
        <w:rPr>
          <w:rFonts w:ascii="Arial" w:hAnsi="Arial"/>
          <w:szCs w:val="24"/>
        </w:rPr>
        <w:t xml:space="preserve">conducted at what might be described as a centralised level, </w:t>
      </w:r>
      <w:r w:rsidR="00D531B0">
        <w:rPr>
          <w:rFonts w:ascii="Arial" w:hAnsi="Arial"/>
          <w:szCs w:val="24"/>
        </w:rPr>
        <w:t xml:space="preserve">there is no bargaining council registered for the </w:t>
      </w:r>
      <w:r w:rsidR="00E71E8B">
        <w:rPr>
          <w:rFonts w:ascii="Arial" w:hAnsi="Arial"/>
          <w:szCs w:val="24"/>
        </w:rPr>
        <w:t xml:space="preserve">gold mining industry. </w:t>
      </w:r>
      <w:r w:rsidR="006959EE">
        <w:rPr>
          <w:rFonts w:ascii="Arial" w:hAnsi="Arial"/>
          <w:szCs w:val="24"/>
        </w:rPr>
        <w:t>T</w:t>
      </w:r>
      <w:r w:rsidR="00D531B0">
        <w:rPr>
          <w:rFonts w:ascii="Arial" w:hAnsi="Arial"/>
          <w:szCs w:val="24"/>
        </w:rPr>
        <w:t>here is no reason to depart</w:t>
      </w:r>
      <w:r w:rsidR="00E71E8B">
        <w:rPr>
          <w:rFonts w:ascii="Arial" w:hAnsi="Arial"/>
          <w:szCs w:val="24"/>
        </w:rPr>
        <w:t xml:space="preserve"> from the plain meaning of s 32</w:t>
      </w:r>
      <w:r w:rsidR="00D531B0">
        <w:rPr>
          <w:rFonts w:ascii="Arial" w:hAnsi="Arial"/>
          <w:szCs w:val="24"/>
        </w:rPr>
        <w:t xml:space="preserve"> and specifically, the clear provision in s 32 (1) that </w:t>
      </w:r>
      <w:r w:rsidR="00E71E8B">
        <w:rPr>
          <w:rFonts w:ascii="Arial" w:hAnsi="Arial"/>
          <w:szCs w:val="24"/>
        </w:rPr>
        <w:t>any extension may be applied</w:t>
      </w:r>
      <w:r w:rsidR="00D531B0">
        <w:rPr>
          <w:rFonts w:ascii="Arial" w:hAnsi="Arial"/>
          <w:szCs w:val="24"/>
        </w:rPr>
        <w:t xml:space="preserve"> only to collective agreements concluded in bargaining councils</w:t>
      </w:r>
      <w:r w:rsidR="00E71E8B">
        <w:rPr>
          <w:rFonts w:ascii="Arial" w:hAnsi="Arial"/>
          <w:szCs w:val="24"/>
        </w:rPr>
        <w:t>,</w:t>
      </w:r>
      <w:r w:rsidR="003617B3">
        <w:rPr>
          <w:rFonts w:ascii="Arial" w:hAnsi="Arial"/>
          <w:szCs w:val="24"/>
        </w:rPr>
        <w:t xml:space="preserve"> and then only </w:t>
      </w:r>
      <w:r w:rsidR="00D531B0">
        <w:rPr>
          <w:rFonts w:ascii="Arial" w:hAnsi="Arial"/>
          <w:szCs w:val="24"/>
        </w:rPr>
        <w:t>by the minis</w:t>
      </w:r>
      <w:r w:rsidR="003617B3">
        <w:rPr>
          <w:rFonts w:ascii="Arial" w:hAnsi="Arial"/>
          <w:szCs w:val="24"/>
        </w:rPr>
        <w:t xml:space="preserve">ter </w:t>
      </w:r>
      <w:r w:rsidR="00D531B0">
        <w:rPr>
          <w:rFonts w:ascii="Arial" w:hAnsi="Arial"/>
          <w:szCs w:val="24"/>
        </w:rPr>
        <w:t>at the r</w:t>
      </w:r>
      <w:r w:rsidR="006959EE">
        <w:rPr>
          <w:rFonts w:ascii="Arial" w:hAnsi="Arial"/>
          <w:szCs w:val="24"/>
        </w:rPr>
        <w:t xml:space="preserve">equest of the </w:t>
      </w:r>
      <w:r w:rsidR="003617B3">
        <w:rPr>
          <w:rFonts w:ascii="Arial" w:hAnsi="Arial"/>
          <w:szCs w:val="24"/>
        </w:rPr>
        <w:t xml:space="preserve">council. </w:t>
      </w:r>
      <w:r w:rsidR="00D531B0">
        <w:rPr>
          <w:rFonts w:ascii="Arial" w:hAnsi="Arial"/>
          <w:szCs w:val="24"/>
        </w:rPr>
        <w:t xml:space="preserve"> </w:t>
      </w:r>
      <w:r w:rsidR="003617B3">
        <w:rPr>
          <w:rFonts w:ascii="Arial" w:hAnsi="Arial"/>
          <w:szCs w:val="24"/>
        </w:rPr>
        <w:t>In short</w:t>
      </w:r>
      <w:r w:rsidR="00D531B0">
        <w:rPr>
          <w:rFonts w:ascii="Arial" w:hAnsi="Arial"/>
          <w:szCs w:val="24"/>
        </w:rPr>
        <w:t>, s 32 does not apply</w:t>
      </w:r>
      <w:r w:rsidR="003617B3">
        <w:rPr>
          <w:rFonts w:ascii="Arial" w:hAnsi="Arial"/>
          <w:szCs w:val="24"/>
        </w:rPr>
        <w:t xml:space="preserve"> to the extension of a collective agreement concluded outside </w:t>
      </w:r>
      <w:r w:rsidR="003617B3">
        <w:rPr>
          <w:rFonts w:ascii="Arial" w:hAnsi="Arial"/>
          <w:szCs w:val="24"/>
        </w:rPr>
        <w:lastRenderedPageBreak/>
        <w:t>of a bargaining council</w:t>
      </w:r>
      <w:r w:rsidR="00CC3D9C">
        <w:rPr>
          <w:rFonts w:ascii="Arial" w:hAnsi="Arial"/>
          <w:szCs w:val="24"/>
        </w:rPr>
        <w:t xml:space="preserve">, even if that agreement </w:t>
      </w:r>
      <w:r w:rsidR="00CC3D9C" w:rsidRPr="00AE037B">
        <w:rPr>
          <w:rFonts w:ascii="Arial" w:hAnsi="Arial"/>
          <w:i/>
          <w:szCs w:val="24"/>
        </w:rPr>
        <w:t>de facto</w:t>
      </w:r>
      <w:r w:rsidR="00CC3D9C">
        <w:rPr>
          <w:rFonts w:ascii="Arial" w:hAnsi="Arial"/>
          <w:szCs w:val="24"/>
        </w:rPr>
        <w:t xml:space="preserve"> </w:t>
      </w:r>
      <w:r w:rsidR="00AE037B">
        <w:rPr>
          <w:rFonts w:ascii="Arial" w:hAnsi="Arial"/>
          <w:szCs w:val="24"/>
        </w:rPr>
        <w:t>serves to regulate</w:t>
      </w:r>
      <w:r w:rsidR="00CC3D9C">
        <w:rPr>
          <w:rFonts w:ascii="Arial" w:hAnsi="Arial"/>
          <w:szCs w:val="24"/>
        </w:rPr>
        <w:t xml:space="preserve"> matters of mutual interest in a particular sector</w:t>
      </w:r>
      <w:r w:rsidR="003617B3">
        <w:rPr>
          <w:rFonts w:ascii="Arial" w:hAnsi="Arial"/>
          <w:szCs w:val="24"/>
        </w:rPr>
        <w:t>.</w:t>
      </w:r>
      <w:r w:rsidR="00D531B0">
        <w:rPr>
          <w:rFonts w:ascii="Arial" w:hAnsi="Arial"/>
          <w:szCs w:val="24"/>
        </w:rPr>
        <w:t xml:space="preserve"> </w:t>
      </w:r>
    </w:p>
    <w:p w:rsidR="001D6384" w:rsidRPr="0071489B" w:rsidRDefault="00A54FBE" w:rsidP="00A826E5">
      <w:pPr>
        <w:spacing w:before="240" w:after="120" w:line="360" w:lineRule="auto"/>
        <w:ind w:left="720" w:hanging="720"/>
        <w:jc w:val="both"/>
        <w:rPr>
          <w:rFonts w:ascii="Arial" w:hAnsi="Arial" w:cs="Arial"/>
          <w:sz w:val="24"/>
          <w:szCs w:val="24"/>
        </w:rPr>
      </w:pPr>
      <w:r>
        <w:rPr>
          <w:rFonts w:ascii="Arial" w:hAnsi="Arial" w:cs="Arial"/>
          <w:sz w:val="24"/>
          <w:szCs w:val="24"/>
        </w:rPr>
        <w:t>[22</w:t>
      </w:r>
      <w:r w:rsidR="00F2769C">
        <w:rPr>
          <w:rFonts w:ascii="Arial" w:hAnsi="Arial" w:cs="Arial"/>
          <w:sz w:val="24"/>
          <w:szCs w:val="24"/>
        </w:rPr>
        <w:t>]</w:t>
      </w:r>
      <w:r w:rsidR="00F2769C">
        <w:rPr>
          <w:rFonts w:ascii="Arial" w:hAnsi="Arial" w:cs="Arial"/>
          <w:sz w:val="24"/>
          <w:szCs w:val="24"/>
        </w:rPr>
        <w:tab/>
      </w:r>
      <w:r w:rsidR="003617B3">
        <w:rPr>
          <w:rFonts w:ascii="Arial" w:hAnsi="Arial" w:cs="Arial"/>
          <w:sz w:val="24"/>
          <w:szCs w:val="24"/>
        </w:rPr>
        <w:t xml:space="preserve">I turn next to the application and interpretation of s 23 (1) (d). </w:t>
      </w:r>
      <w:r w:rsidR="00F2769C">
        <w:rPr>
          <w:rFonts w:ascii="Arial" w:hAnsi="Arial" w:cs="Arial"/>
          <w:sz w:val="24"/>
          <w:szCs w:val="24"/>
        </w:rPr>
        <w:t xml:space="preserve">The </w:t>
      </w:r>
      <w:r w:rsidR="00DF28E3">
        <w:rPr>
          <w:rFonts w:ascii="Arial" w:hAnsi="Arial" w:cs="Arial"/>
          <w:sz w:val="24"/>
          <w:szCs w:val="24"/>
        </w:rPr>
        <w:t>three sections of the LRA relevant to these proceedings</w:t>
      </w:r>
      <w:r w:rsidR="00493A2B">
        <w:rPr>
          <w:rFonts w:ascii="Arial" w:hAnsi="Arial" w:cs="Arial"/>
          <w:sz w:val="24"/>
          <w:szCs w:val="24"/>
        </w:rPr>
        <w:t xml:space="preserve"> are s 2</w:t>
      </w:r>
      <w:r w:rsidR="00F2769C">
        <w:rPr>
          <w:rFonts w:ascii="Arial" w:hAnsi="Arial" w:cs="Arial"/>
          <w:sz w:val="24"/>
          <w:szCs w:val="24"/>
        </w:rPr>
        <w:t>3</w:t>
      </w:r>
      <w:r w:rsidR="00493A2B">
        <w:rPr>
          <w:rFonts w:ascii="Arial" w:hAnsi="Arial" w:cs="Arial"/>
          <w:sz w:val="24"/>
          <w:szCs w:val="24"/>
        </w:rPr>
        <w:t xml:space="preserve"> (1) (d), s 65 (1) (a) and the definition of ‘workplace’ in s 213. </w:t>
      </w:r>
      <w:r w:rsidR="00DF28E3">
        <w:rPr>
          <w:rFonts w:ascii="Arial" w:hAnsi="Arial" w:cs="Arial"/>
          <w:sz w:val="24"/>
          <w:szCs w:val="24"/>
        </w:rPr>
        <w:t xml:space="preserve"> </w:t>
      </w:r>
      <w:r w:rsidR="008D4199">
        <w:rPr>
          <w:rFonts w:ascii="Arial" w:hAnsi="Arial" w:cs="Arial"/>
          <w:sz w:val="24"/>
          <w:szCs w:val="24"/>
        </w:rPr>
        <w:t>Section 23 regulates the legal effect of collective agreements</w:t>
      </w:r>
      <w:r w:rsidR="004251C1">
        <w:rPr>
          <w:rFonts w:ascii="Arial" w:hAnsi="Arial" w:cs="Arial"/>
          <w:sz w:val="24"/>
          <w:szCs w:val="24"/>
        </w:rPr>
        <w:t>.</w:t>
      </w:r>
      <w:r w:rsidR="008D4199">
        <w:rPr>
          <w:rFonts w:ascii="Arial" w:hAnsi="Arial" w:cs="Arial"/>
          <w:sz w:val="24"/>
          <w:szCs w:val="24"/>
        </w:rPr>
        <w:t xml:space="preserve"> </w:t>
      </w:r>
      <w:r w:rsidR="002052AA">
        <w:rPr>
          <w:rFonts w:ascii="Arial" w:hAnsi="Arial" w:cs="Arial"/>
          <w:sz w:val="24"/>
          <w:szCs w:val="24"/>
        </w:rPr>
        <w:t>Subsection</w:t>
      </w:r>
      <w:r w:rsidR="008D4199">
        <w:rPr>
          <w:rFonts w:ascii="Arial" w:hAnsi="Arial" w:cs="Arial"/>
          <w:sz w:val="24"/>
          <w:szCs w:val="24"/>
        </w:rPr>
        <w:t xml:space="preserve"> (1) (d)</w:t>
      </w:r>
      <w:r w:rsidR="001D6384">
        <w:rPr>
          <w:rFonts w:ascii="Arial" w:hAnsi="Arial" w:cs="Arial"/>
          <w:sz w:val="24"/>
          <w:szCs w:val="24"/>
        </w:rPr>
        <w:t xml:space="preserve"> </w:t>
      </w:r>
      <w:r w:rsidR="001D6384" w:rsidRPr="0071489B">
        <w:rPr>
          <w:rFonts w:ascii="Arial" w:hAnsi="Arial" w:cs="Arial"/>
          <w:sz w:val="24"/>
          <w:szCs w:val="24"/>
        </w:rPr>
        <w:t>reads:</w:t>
      </w:r>
    </w:p>
    <w:p w:rsidR="001D6384" w:rsidRPr="00791FB4" w:rsidRDefault="001D6384" w:rsidP="00F2769C">
      <w:pPr>
        <w:spacing w:before="240" w:after="120" w:line="240" w:lineRule="auto"/>
        <w:ind w:left="1440"/>
        <w:jc w:val="both"/>
        <w:rPr>
          <w:rFonts w:ascii="Arial" w:hAnsi="Arial" w:cs="Arial"/>
        </w:rPr>
      </w:pPr>
      <w:r w:rsidRPr="00791FB4">
        <w:rPr>
          <w:rFonts w:ascii="Arial" w:hAnsi="Arial" w:cs="Arial"/>
        </w:rPr>
        <w:t>‘(1)</w:t>
      </w:r>
      <w:r w:rsidRPr="00791FB4">
        <w:rPr>
          <w:rFonts w:ascii="Arial" w:hAnsi="Arial" w:cs="Arial"/>
        </w:rPr>
        <w:tab/>
        <w:t>A collective agreement binds-</w:t>
      </w:r>
    </w:p>
    <w:p w:rsidR="004251C1" w:rsidRDefault="004251C1" w:rsidP="00F2769C">
      <w:pPr>
        <w:spacing w:before="240" w:after="120" w:line="240" w:lineRule="auto"/>
        <w:ind w:left="2880" w:hanging="720"/>
        <w:jc w:val="both"/>
        <w:rPr>
          <w:rFonts w:ascii="Arial" w:hAnsi="Arial" w:cs="Arial"/>
        </w:rPr>
      </w:pPr>
      <w:r>
        <w:rPr>
          <w:rFonts w:ascii="Arial" w:hAnsi="Arial" w:cs="Arial"/>
        </w:rPr>
        <w:t>…</w:t>
      </w:r>
    </w:p>
    <w:p w:rsidR="001D6384" w:rsidRPr="00791FB4" w:rsidRDefault="00F2769C" w:rsidP="00F2769C">
      <w:pPr>
        <w:spacing w:before="240" w:after="120" w:line="240" w:lineRule="auto"/>
        <w:ind w:left="2880" w:hanging="720"/>
        <w:jc w:val="both"/>
        <w:rPr>
          <w:rFonts w:ascii="Arial" w:hAnsi="Arial" w:cs="Arial"/>
        </w:rPr>
      </w:pPr>
      <w:r>
        <w:rPr>
          <w:rFonts w:ascii="Arial" w:hAnsi="Arial" w:cs="Arial"/>
        </w:rPr>
        <w:t>(</w:t>
      </w:r>
      <w:r w:rsidR="001D6384" w:rsidRPr="00791FB4">
        <w:rPr>
          <w:rFonts w:ascii="Arial" w:hAnsi="Arial" w:cs="Arial"/>
        </w:rPr>
        <w:t>d)</w:t>
      </w:r>
      <w:r w:rsidR="001D6384" w:rsidRPr="00791FB4">
        <w:rPr>
          <w:rFonts w:ascii="Arial" w:hAnsi="Arial" w:cs="Arial"/>
        </w:rPr>
        <w:tab/>
        <w:t>employees who are not members of the registered trade union or trade unions party to the agreement if –</w:t>
      </w:r>
    </w:p>
    <w:p w:rsidR="001D6384" w:rsidRPr="00791FB4" w:rsidRDefault="001D6384" w:rsidP="00F2769C">
      <w:pPr>
        <w:spacing w:before="240" w:after="120" w:line="240" w:lineRule="auto"/>
        <w:ind w:left="2160" w:firstLine="720"/>
        <w:jc w:val="both"/>
        <w:rPr>
          <w:rFonts w:ascii="Arial" w:hAnsi="Arial" w:cs="Arial"/>
        </w:rPr>
      </w:pPr>
      <w:r w:rsidRPr="00791FB4">
        <w:rPr>
          <w:rFonts w:ascii="Arial" w:hAnsi="Arial" w:cs="Arial"/>
        </w:rPr>
        <w:t>(i)</w:t>
      </w:r>
      <w:r w:rsidRPr="00791FB4">
        <w:rPr>
          <w:rFonts w:ascii="Arial" w:hAnsi="Arial" w:cs="Arial"/>
        </w:rPr>
        <w:tab/>
        <w:t>the employees are identified in the agreement;</w:t>
      </w:r>
    </w:p>
    <w:p w:rsidR="001D6384" w:rsidRDefault="001D6384" w:rsidP="00F2769C">
      <w:pPr>
        <w:spacing w:before="240" w:after="120" w:line="240" w:lineRule="auto"/>
        <w:ind w:left="2160" w:firstLine="720"/>
        <w:jc w:val="both"/>
        <w:rPr>
          <w:rFonts w:ascii="Arial" w:hAnsi="Arial" w:cs="Arial"/>
        </w:rPr>
      </w:pPr>
      <w:r w:rsidRPr="00791FB4">
        <w:rPr>
          <w:rFonts w:ascii="Arial" w:hAnsi="Arial" w:cs="Arial"/>
        </w:rPr>
        <w:t>(ii)</w:t>
      </w:r>
      <w:r w:rsidRPr="00791FB4">
        <w:rPr>
          <w:rFonts w:ascii="Arial" w:hAnsi="Arial" w:cs="Arial"/>
        </w:rPr>
        <w:tab/>
        <w:t>the agreement expressly binds the employees</w:t>
      </w:r>
      <w:r w:rsidR="004251C1">
        <w:rPr>
          <w:rFonts w:ascii="Arial" w:hAnsi="Arial" w:cs="Arial"/>
        </w:rPr>
        <w:t>; and</w:t>
      </w:r>
      <w:r w:rsidRPr="00791FB4">
        <w:rPr>
          <w:rFonts w:ascii="Arial" w:hAnsi="Arial" w:cs="Arial"/>
        </w:rPr>
        <w:t xml:space="preserve">  </w:t>
      </w:r>
    </w:p>
    <w:p w:rsidR="001D6384" w:rsidRPr="00791FB4" w:rsidRDefault="001D6384" w:rsidP="004251C1">
      <w:pPr>
        <w:spacing w:before="240" w:after="120" w:line="240" w:lineRule="auto"/>
        <w:ind w:left="3600" w:hanging="720"/>
        <w:jc w:val="both"/>
        <w:rPr>
          <w:rFonts w:ascii="Arial" w:hAnsi="Arial" w:cs="Arial"/>
        </w:rPr>
      </w:pPr>
      <w:r w:rsidRPr="00791FB4">
        <w:rPr>
          <w:rFonts w:ascii="Arial" w:hAnsi="Arial" w:cs="Arial"/>
        </w:rPr>
        <w:t>(iii)</w:t>
      </w:r>
      <w:r w:rsidRPr="00791FB4">
        <w:rPr>
          <w:rFonts w:ascii="Arial" w:hAnsi="Arial" w:cs="Arial"/>
        </w:rPr>
        <w:tab/>
        <w:t>that trade union or those trade unions have as their members the majority of employees employed by the employer in the workplace’.</w:t>
      </w:r>
    </w:p>
    <w:p w:rsidR="00DC5098" w:rsidRDefault="00DC5098" w:rsidP="00F2769C">
      <w:pPr>
        <w:pStyle w:val="ClaireNew"/>
        <w:numPr>
          <w:ilvl w:val="0"/>
          <w:numId w:val="0"/>
        </w:numPr>
        <w:spacing w:before="240" w:after="120" w:line="240" w:lineRule="auto"/>
        <w:ind w:left="720" w:hanging="720"/>
        <w:rPr>
          <w:rFonts w:ascii="Arial" w:hAnsi="Arial"/>
          <w:szCs w:val="24"/>
        </w:rPr>
      </w:pPr>
    </w:p>
    <w:p w:rsidR="00DF28E3" w:rsidRDefault="003477ED" w:rsidP="00F2769C">
      <w:pPr>
        <w:pStyle w:val="ClaireNew"/>
        <w:numPr>
          <w:ilvl w:val="0"/>
          <w:numId w:val="0"/>
        </w:numPr>
        <w:spacing w:before="240" w:after="120"/>
        <w:ind w:left="720"/>
        <w:rPr>
          <w:rFonts w:ascii="Arial" w:hAnsi="Arial"/>
          <w:szCs w:val="24"/>
        </w:rPr>
      </w:pPr>
      <w:r>
        <w:rPr>
          <w:rFonts w:ascii="Arial" w:hAnsi="Arial"/>
          <w:szCs w:val="24"/>
        </w:rPr>
        <w:t>Section 213 defines a ‘workplace’ (other than in relation to the public service) to mean</w:t>
      </w:r>
      <w:r w:rsidR="00DF28E3">
        <w:rPr>
          <w:rFonts w:ascii="Arial" w:hAnsi="Arial"/>
          <w:szCs w:val="24"/>
        </w:rPr>
        <w:t>:</w:t>
      </w:r>
    </w:p>
    <w:p w:rsidR="003477ED" w:rsidRDefault="00DF28E3" w:rsidP="00F2769C">
      <w:pPr>
        <w:pStyle w:val="ClaireNew"/>
        <w:numPr>
          <w:ilvl w:val="0"/>
          <w:numId w:val="0"/>
        </w:numPr>
        <w:spacing w:before="240" w:after="120" w:line="240" w:lineRule="auto"/>
        <w:ind w:left="1440"/>
        <w:rPr>
          <w:rFonts w:ascii="Arial" w:hAnsi="Arial"/>
          <w:szCs w:val="24"/>
        </w:rPr>
      </w:pPr>
      <w:r>
        <w:rPr>
          <w:rFonts w:ascii="Arial" w:hAnsi="Arial"/>
          <w:szCs w:val="24"/>
        </w:rPr>
        <w:t>‘</w:t>
      </w:r>
      <w:r>
        <w:rPr>
          <w:rFonts w:ascii="Arial" w:hAnsi="Arial"/>
          <w:sz w:val="22"/>
          <w:szCs w:val="22"/>
        </w:rPr>
        <w:t xml:space="preserve">(c) … </w:t>
      </w:r>
      <w:r w:rsidRPr="0097758A">
        <w:rPr>
          <w:rFonts w:ascii="Arial" w:hAnsi="Arial"/>
          <w:sz w:val="22"/>
          <w:szCs w:val="22"/>
        </w:rPr>
        <w:t xml:space="preserve">the place or places where the employees of an employer work. If an employer carries on or conducts two or more operations that are independent of one another by reason of their size, function </w:t>
      </w:r>
      <w:r>
        <w:rPr>
          <w:rFonts w:ascii="Arial" w:hAnsi="Arial"/>
          <w:sz w:val="22"/>
          <w:szCs w:val="22"/>
        </w:rPr>
        <w:t>or organisation, the place or</w:t>
      </w:r>
      <w:r w:rsidRPr="0097758A">
        <w:rPr>
          <w:rFonts w:ascii="Arial" w:hAnsi="Arial"/>
          <w:sz w:val="22"/>
          <w:szCs w:val="22"/>
        </w:rPr>
        <w:t xml:space="preserve"> places where employees work in connection with each independent operation, constitutes the workplace for that operation..</w:t>
      </w:r>
    </w:p>
    <w:p w:rsidR="00D531B0" w:rsidRDefault="003477ED" w:rsidP="00F2769C">
      <w:pPr>
        <w:pStyle w:val="ClaireNew"/>
        <w:numPr>
          <w:ilvl w:val="0"/>
          <w:numId w:val="0"/>
        </w:numPr>
        <w:spacing w:before="240" w:after="120"/>
        <w:ind w:left="720"/>
        <w:rPr>
          <w:rFonts w:ascii="Arial" w:hAnsi="Arial"/>
          <w:szCs w:val="24"/>
        </w:rPr>
      </w:pPr>
      <w:r>
        <w:rPr>
          <w:rFonts w:ascii="Arial" w:hAnsi="Arial"/>
          <w:szCs w:val="24"/>
        </w:rPr>
        <w:t>S</w:t>
      </w:r>
      <w:r w:rsidR="00D531B0">
        <w:rPr>
          <w:rFonts w:ascii="Arial" w:hAnsi="Arial"/>
          <w:szCs w:val="24"/>
        </w:rPr>
        <w:t>ection 65 (1) (a) provides that</w:t>
      </w:r>
    </w:p>
    <w:p w:rsidR="00D531B0" w:rsidRDefault="003617B3" w:rsidP="00F2769C">
      <w:pPr>
        <w:pStyle w:val="ClaireNew"/>
        <w:numPr>
          <w:ilvl w:val="0"/>
          <w:numId w:val="0"/>
        </w:numPr>
        <w:spacing w:before="240" w:after="120" w:line="240" w:lineRule="auto"/>
        <w:ind w:left="1440" w:firstLine="60"/>
        <w:rPr>
          <w:rFonts w:ascii="Arial" w:hAnsi="Arial"/>
          <w:sz w:val="22"/>
          <w:szCs w:val="22"/>
        </w:rPr>
      </w:pPr>
      <w:r>
        <w:rPr>
          <w:rFonts w:ascii="Arial" w:hAnsi="Arial"/>
          <w:sz w:val="22"/>
          <w:szCs w:val="22"/>
        </w:rPr>
        <w:t>‘</w:t>
      </w:r>
      <w:r w:rsidR="004251C1">
        <w:rPr>
          <w:rFonts w:ascii="Arial" w:hAnsi="Arial"/>
          <w:sz w:val="22"/>
          <w:szCs w:val="22"/>
        </w:rPr>
        <w:t>N</w:t>
      </w:r>
      <w:r w:rsidR="003477ED" w:rsidRPr="00D531B0">
        <w:rPr>
          <w:rFonts w:ascii="Arial" w:hAnsi="Arial"/>
          <w:sz w:val="22"/>
          <w:szCs w:val="22"/>
        </w:rPr>
        <w:t>o person may take part in a strike or lock-</w:t>
      </w:r>
      <w:r w:rsidR="004251C1">
        <w:rPr>
          <w:rFonts w:ascii="Arial" w:hAnsi="Arial"/>
          <w:sz w:val="22"/>
          <w:szCs w:val="22"/>
        </w:rPr>
        <w:t>out or in any conduct in contemplation or furtherance</w:t>
      </w:r>
      <w:r w:rsidR="003477ED" w:rsidRPr="00D531B0">
        <w:rPr>
          <w:rFonts w:ascii="Arial" w:hAnsi="Arial"/>
          <w:sz w:val="22"/>
          <w:szCs w:val="22"/>
        </w:rPr>
        <w:t xml:space="preserve"> of a strike or lock-out if – </w:t>
      </w:r>
    </w:p>
    <w:p w:rsidR="00D531B0" w:rsidRDefault="003477ED" w:rsidP="003617B3">
      <w:pPr>
        <w:pStyle w:val="ClaireNew"/>
        <w:numPr>
          <w:ilvl w:val="0"/>
          <w:numId w:val="0"/>
        </w:numPr>
        <w:spacing w:before="240" w:after="120" w:line="240" w:lineRule="auto"/>
        <w:ind w:left="2160"/>
        <w:rPr>
          <w:rFonts w:ascii="Arial" w:hAnsi="Arial"/>
          <w:szCs w:val="24"/>
        </w:rPr>
      </w:pPr>
      <w:r w:rsidRPr="00D531B0">
        <w:rPr>
          <w:rFonts w:ascii="Arial" w:hAnsi="Arial"/>
          <w:sz w:val="22"/>
          <w:szCs w:val="22"/>
        </w:rPr>
        <w:t>(a) that person is bound by a collective agreement that prohibits a strike or lock-out in respect of the issue in dispute</w:t>
      </w:r>
      <w:r w:rsidR="003617B3">
        <w:rPr>
          <w:rFonts w:ascii="Arial" w:hAnsi="Arial"/>
          <w:sz w:val="22"/>
          <w:szCs w:val="22"/>
        </w:rPr>
        <w:t>.’</w:t>
      </w:r>
    </w:p>
    <w:p w:rsidR="00705D93" w:rsidRDefault="00A54FBE" w:rsidP="003B601E">
      <w:pPr>
        <w:spacing w:before="240" w:after="120" w:line="360" w:lineRule="auto"/>
        <w:ind w:left="720" w:hanging="720"/>
        <w:jc w:val="both"/>
        <w:rPr>
          <w:rFonts w:ascii="Arial" w:hAnsi="Arial" w:cs="Arial"/>
          <w:sz w:val="24"/>
          <w:szCs w:val="24"/>
        </w:rPr>
      </w:pPr>
      <w:r>
        <w:rPr>
          <w:rFonts w:ascii="Arial" w:hAnsi="Arial"/>
          <w:sz w:val="24"/>
          <w:szCs w:val="24"/>
        </w:rPr>
        <w:t>[23</w:t>
      </w:r>
      <w:r w:rsidR="00F2769C" w:rsidRPr="00681BAF">
        <w:rPr>
          <w:rFonts w:ascii="Arial" w:hAnsi="Arial"/>
          <w:sz w:val="24"/>
          <w:szCs w:val="24"/>
        </w:rPr>
        <w:t>]</w:t>
      </w:r>
      <w:r w:rsidR="00F2769C" w:rsidRPr="00681BAF">
        <w:rPr>
          <w:rFonts w:ascii="Arial" w:hAnsi="Arial"/>
          <w:sz w:val="24"/>
          <w:szCs w:val="24"/>
        </w:rPr>
        <w:tab/>
        <w:t>It is common cause that the wage agreement meets the requirements established by s 23 (1) (d) (i) and (ii). In other words, the agreement identifies t</w:t>
      </w:r>
      <w:r w:rsidR="003617B3">
        <w:rPr>
          <w:rFonts w:ascii="Arial" w:hAnsi="Arial"/>
          <w:sz w:val="24"/>
          <w:szCs w:val="24"/>
        </w:rPr>
        <w:t xml:space="preserve">he </w:t>
      </w:r>
      <w:r w:rsidR="003617B3">
        <w:rPr>
          <w:rFonts w:ascii="Arial" w:hAnsi="Arial"/>
          <w:sz w:val="24"/>
          <w:szCs w:val="24"/>
        </w:rPr>
        <w:lastRenderedPageBreak/>
        <w:t>employees to whom it is</w:t>
      </w:r>
      <w:r w:rsidR="00F2769C" w:rsidRPr="00681BAF">
        <w:rPr>
          <w:rFonts w:ascii="Arial" w:hAnsi="Arial"/>
          <w:sz w:val="24"/>
          <w:szCs w:val="24"/>
        </w:rPr>
        <w:t xml:space="preserve"> extended, and</w:t>
      </w:r>
      <w:r w:rsidR="004251C1">
        <w:rPr>
          <w:rFonts w:ascii="Arial" w:hAnsi="Arial"/>
          <w:sz w:val="24"/>
          <w:szCs w:val="24"/>
        </w:rPr>
        <w:t xml:space="preserve"> it states that those employees are </w:t>
      </w:r>
      <w:r w:rsidR="00F2769C" w:rsidRPr="00681BAF">
        <w:rPr>
          <w:rFonts w:ascii="Arial" w:hAnsi="Arial"/>
          <w:sz w:val="24"/>
          <w:szCs w:val="24"/>
        </w:rPr>
        <w:t xml:space="preserve">expressly </w:t>
      </w:r>
      <w:r w:rsidR="004251C1">
        <w:rPr>
          <w:rFonts w:ascii="Arial" w:hAnsi="Arial"/>
          <w:sz w:val="24"/>
          <w:szCs w:val="24"/>
        </w:rPr>
        <w:t>bound by its terms</w:t>
      </w:r>
      <w:r w:rsidR="00F2769C" w:rsidRPr="00681BAF">
        <w:rPr>
          <w:rFonts w:ascii="Arial" w:hAnsi="Arial"/>
          <w:sz w:val="24"/>
          <w:szCs w:val="24"/>
        </w:rPr>
        <w:t xml:space="preserve">. </w:t>
      </w:r>
      <w:r w:rsidR="003B601E" w:rsidRPr="00681BAF">
        <w:rPr>
          <w:rFonts w:ascii="Arial" w:hAnsi="Arial" w:cs="Arial"/>
          <w:sz w:val="24"/>
          <w:szCs w:val="24"/>
        </w:rPr>
        <w:t>The central controversy before Cele J (and in these proceedings) is whether Harmony, AngloGold Ashanti and Sibanye each constitute a single workplace, or</w:t>
      </w:r>
      <w:r w:rsidR="003B601E">
        <w:rPr>
          <w:rFonts w:ascii="Arial" w:hAnsi="Arial" w:cs="Arial"/>
          <w:sz w:val="24"/>
          <w:szCs w:val="24"/>
        </w:rPr>
        <w:t xml:space="preserve"> whether </w:t>
      </w:r>
      <w:r w:rsidR="003617B3">
        <w:rPr>
          <w:rFonts w:ascii="Arial" w:hAnsi="Arial" w:cs="Arial"/>
          <w:sz w:val="24"/>
          <w:szCs w:val="24"/>
        </w:rPr>
        <w:t>e</w:t>
      </w:r>
      <w:r w:rsidR="003B601E">
        <w:rPr>
          <w:rFonts w:ascii="Arial" w:hAnsi="Arial" w:cs="Arial"/>
          <w:sz w:val="24"/>
          <w:szCs w:val="24"/>
        </w:rPr>
        <w:t>ac</w:t>
      </w:r>
      <w:r w:rsidR="004251C1">
        <w:rPr>
          <w:rFonts w:ascii="Arial" w:hAnsi="Arial" w:cs="Arial"/>
          <w:sz w:val="24"/>
          <w:szCs w:val="24"/>
        </w:rPr>
        <w:t xml:space="preserve">h of their mines </w:t>
      </w:r>
      <w:r w:rsidR="003B601E">
        <w:rPr>
          <w:rFonts w:ascii="Arial" w:hAnsi="Arial" w:cs="Arial"/>
          <w:sz w:val="24"/>
          <w:szCs w:val="24"/>
        </w:rPr>
        <w:t>constitute</w:t>
      </w:r>
      <w:r w:rsidR="004251C1">
        <w:rPr>
          <w:rFonts w:ascii="Arial" w:hAnsi="Arial" w:cs="Arial"/>
          <w:sz w:val="24"/>
          <w:szCs w:val="24"/>
        </w:rPr>
        <w:t>s</w:t>
      </w:r>
      <w:r w:rsidR="003B601E">
        <w:rPr>
          <w:rFonts w:ascii="Arial" w:hAnsi="Arial" w:cs="Arial"/>
          <w:sz w:val="24"/>
          <w:szCs w:val="24"/>
        </w:rPr>
        <w:t xml:space="preserve"> independent workplaces. The significance of this, of course, is that if Harmony, AngloGold Ashanti and Sibanye each constitute a single workplace, then the extension of the wage agreement in </w:t>
      </w:r>
      <w:r w:rsidR="004251C1">
        <w:rPr>
          <w:rFonts w:ascii="Arial" w:hAnsi="Arial" w:cs="Arial"/>
          <w:sz w:val="24"/>
          <w:szCs w:val="24"/>
        </w:rPr>
        <w:t>terms of s 23 (1) (d) was valid</w:t>
      </w:r>
      <w:r w:rsidR="003B601E">
        <w:rPr>
          <w:rFonts w:ascii="Arial" w:hAnsi="Arial" w:cs="Arial"/>
          <w:sz w:val="24"/>
          <w:szCs w:val="24"/>
        </w:rPr>
        <w:t xml:space="preserve"> and the strike cal</w:t>
      </w:r>
      <w:r w:rsidR="003617B3">
        <w:rPr>
          <w:rFonts w:ascii="Arial" w:hAnsi="Arial" w:cs="Arial"/>
          <w:sz w:val="24"/>
          <w:szCs w:val="24"/>
        </w:rPr>
        <w:t>led by AMCU unprotected by virtue</w:t>
      </w:r>
      <w:r w:rsidR="003B601E">
        <w:rPr>
          <w:rFonts w:ascii="Arial" w:hAnsi="Arial" w:cs="Arial"/>
          <w:sz w:val="24"/>
          <w:szCs w:val="24"/>
        </w:rPr>
        <w:t xml:space="preserve"> of s 65 (1) (a). But if, on the oth</w:t>
      </w:r>
      <w:r w:rsidR="004251C1">
        <w:rPr>
          <w:rFonts w:ascii="Arial" w:hAnsi="Arial" w:cs="Arial"/>
          <w:sz w:val="24"/>
          <w:szCs w:val="24"/>
        </w:rPr>
        <w:t>er hand, each mine</w:t>
      </w:r>
      <w:r w:rsidR="003B601E">
        <w:rPr>
          <w:rFonts w:ascii="Arial" w:hAnsi="Arial" w:cs="Arial"/>
          <w:sz w:val="24"/>
          <w:szCs w:val="24"/>
        </w:rPr>
        <w:t xml:space="preserve"> constitutes an independent workplace, then the extension was not v</w:t>
      </w:r>
      <w:r w:rsidR="003617B3">
        <w:rPr>
          <w:rFonts w:ascii="Arial" w:hAnsi="Arial" w:cs="Arial"/>
          <w:sz w:val="24"/>
          <w:szCs w:val="24"/>
        </w:rPr>
        <w:t>alidly effected (at least not in respect of</w:t>
      </w:r>
      <w:r w:rsidR="003B601E">
        <w:rPr>
          <w:rFonts w:ascii="Arial" w:hAnsi="Arial" w:cs="Arial"/>
          <w:sz w:val="24"/>
          <w:szCs w:val="24"/>
        </w:rPr>
        <w:t xml:space="preserve"> those mines where AM</w:t>
      </w:r>
      <w:r w:rsidR="004251C1">
        <w:rPr>
          <w:rFonts w:ascii="Arial" w:hAnsi="Arial" w:cs="Arial"/>
          <w:sz w:val="24"/>
          <w:szCs w:val="24"/>
        </w:rPr>
        <w:t>CU has majority representation)</w:t>
      </w:r>
      <w:r w:rsidR="003B601E">
        <w:rPr>
          <w:rFonts w:ascii="Arial" w:hAnsi="Arial" w:cs="Arial"/>
          <w:sz w:val="24"/>
          <w:szCs w:val="24"/>
        </w:rPr>
        <w:t xml:space="preserve"> and</w:t>
      </w:r>
      <w:r w:rsidR="003617B3">
        <w:rPr>
          <w:rFonts w:ascii="Arial" w:hAnsi="Arial" w:cs="Arial"/>
          <w:sz w:val="24"/>
          <w:szCs w:val="24"/>
        </w:rPr>
        <w:t xml:space="preserve"> a strike by AMCU members</w:t>
      </w:r>
      <w:r w:rsidR="003B601E">
        <w:rPr>
          <w:rFonts w:ascii="Arial" w:hAnsi="Arial" w:cs="Arial"/>
          <w:sz w:val="24"/>
          <w:szCs w:val="24"/>
        </w:rPr>
        <w:t xml:space="preserve"> would be protected.</w:t>
      </w:r>
    </w:p>
    <w:p w:rsidR="007C4E4B" w:rsidRDefault="00A54FBE" w:rsidP="00681BAF">
      <w:pPr>
        <w:pStyle w:val="ClaireNew"/>
        <w:numPr>
          <w:ilvl w:val="0"/>
          <w:numId w:val="0"/>
        </w:numPr>
        <w:spacing w:before="240" w:after="120"/>
        <w:ind w:left="720" w:hanging="720"/>
        <w:rPr>
          <w:rFonts w:ascii="Arial" w:hAnsi="Arial"/>
          <w:szCs w:val="24"/>
        </w:rPr>
      </w:pPr>
      <w:r>
        <w:rPr>
          <w:rFonts w:ascii="Arial" w:hAnsi="Arial"/>
          <w:szCs w:val="24"/>
        </w:rPr>
        <w:t>[24</w:t>
      </w:r>
      <w:r w:rsidR="003617B3">
        <w:rPr>
          <w:rFonts w:ascii="Arial" w:hAnsi="Arial"/>
          <w:szCs w:val="24"/>
        </w:rPr>
        <w:t>]</w:t>
      </w:r>
      <w:r w:rsidR="003617B3">
        <w:rPr>
          <w:rFonts w:ascii="Arial" w:hAnsi="Arial"/>
          <w:szCs w:val="24"/>
        </w:rPr>
        <w:tab/>
      </w:r>
      <w:r w:rsidR="00790F45">
        <w:rPr>
          <w:rFonts w:ascii="Arial" w:hAnsi="Arial"/>
          <w:szCs w:val="24"/>
        </w:rPr>
        <w:t>Mr.</w:t>
      </w:r>
      <w:r w:rsidR="003617B3">
        <w:rPr>
          <w:rFonts w:ascii="Arial" w:hAnsi="Arial"/>
          <w:szCs w:val="24"/>
        </w:rPr>
        <w:t xml:space="preserve"> Kennedy made</w:t>
      </w:r>
      <w:r w:rsidR="00681BAF">
        <w:rPr>
          <w:rFonts w:ascii="Arial" w:hAnsi="Arial"/>
          <w:szCs w:val="24"/>
        </w:rPr>
        <w:t xml:space="preserve"> two </w:t>
      </w:r>
      <w:r w:rsidR="003617B3">
        <w:rPr>
          <w:rFonts w:ascii="Arial" w:hAnsi="Arial"/>
          <w:szCs w:val="24"/>
        </w:rPr>
        <w:t>primary submissions on AMCU’s behalf regarding</w:t>
      </w:r>
      <w:r w:rsidR="00681BAF">
        <w:rPr>
          <w:rFonts w:ascii="Arial" w:hAnsi="Arial"/>
          <w:szCs w:val="24"/>
        </w:rPr>
        <w:t xml:space="preserve"> the application and interpreta</w:t>
      </w:r>
      <w:r w:rsidR="003617B3">
        <w:rPr>
          <w:rFonts w:ascii="Arial" w:hAnsi="Arial"/>
          <w:szCs w:val="24"/>
        </w:rPr>
        <w:t>tion of s 23 (1) (d). First, he</w:t>
      </w:r>
      <w:r w:rsidR="00681BAF">
        <w:rPr>
          <w:rFonts w:ascii="Arial" w:hAnsi="Arial"/>
          <w:szCs w:val="24"/>
        </w:rPr>
        <w:t xml:space="preserve"> submitted that the statutory definition of ‘workplace’ had no application in</w:t>
      </w:r>
      <w:r w:rsidR="007C4E4B">
        <w:rPr>
          <w:rFonts w:ascii="Arial" w:hAnsi="Arial"/>
          <w:szCs w:val="24"/>
        </w:rPr>
        <w:t xml:space="preserve"> the context of s 23 (1) (d).  H</w:t>
      </w:r>
      <w:r w:rsidR="00681BAF">
        <w:rPr>
          <w:rFonts w:ascii="Arial" w:hAnsi="Arial"/>
          <w:szCs w:val="24"/>
        </w:rPr>
        <w:t>e</w:t>
      </w:r>
      <w:r w:rsidR="003617B3">
        <w:rPr>
          <w:rFonts w:ascii="Arial" w:hAnsi="Arial"/>
          <w:szCs w:val="24"/>
        </w:rPr>
        <w:t>re,</w:t>
      </w:r>
      <w:r w:rsidR="00681BAF">
        <w:rPr>
          <w:rFonts w:ascii="Arial" w:hAnsi="Arial"/>
          <w:szCs w:val="24"/>
        </w:rPr>
        <w:t xml:space="preserve"> </w:t>
      </w:r>
      <w:r w:rsidR="00DF38BD">
        <w:rPr>
          <w:rFonts w:ascii="Arial" w:hAnsi="Arial"/>
          <w:szCs w:val="24"/>
        </w:rPr>
        <w:t xml:space="preserve">he </w:t>
      </w:r>
      <w:r w:rsidR="00681BAF">
        <w:rPr>
          <w:rFonts w:ascii="Arial" w:hAnsi="Arial"/>
          <w:szCs w:val="24"/>
        </w:rPr>
        <w:t xml:space="preserve">relied primarily on the preamble to s 213 and the words “Unless the context indicates otherwise…:” </w:t>
      </w:r>
      <w:r w:rsidR="00DF38BD">
        <w:rPr>
          <w:rFonts w:ascii="Arial" w:hAnsi="Arial"/>
          <w:szCs w:val="24"/>
        </w:rPr>
        <w:t xml:space="preserve">to submit that the interpretation of ‘workplace’ must be considered in the context of the LRA and in particular, with s 65 (1) (a). The second (related) submission was to the effect that </w:t>
      </w:r>
      <w:r w:rsidR="00CC3D9C">
        <w:rPr>
          <w:rFonts w:ascii="Arial" w:hAnsi="Arial"/>
          <w:szCs w:val="24"/>
        </w:rPr>
        <w:t>when there a</w:t>
      </w:r>
      <w:r w:rsidR="00DF38BD">
        <w:rPr>
          <w:rFonts w:ascii="Arial" w:hAnsi="Arial"/>
          <w:szCs w:val="24"/>
        </w:rPr>
        <w:t>re two possible interpretatio</w:t>
      </w:r>
      <w:r w:rsidR="00CC3D9C">
        <w:rPr>
          <w:rFonts w:ascii="Arial" w:hAnsi="Arial"/>
          <w:szCs w:val="24"/>
        </w:rPr>
        <w:t xml:space="preserve">ns of </w:t>
      </w:r>
      <w:r w:rsidR="004251C1">
        <w:rPr>
          <w:rFonts w:ascii="Arial" w:hAnsi="Arial"/>
          <w:szCs w:val="24"/>
        </w:rPr>
        <w:t xml:space="preserve">‘workplace’ under s 23 (1) (d), which </w:t>
      </w:r>
      <w:r w:rsidR="00CC3D9C">
        <w:rPr>
          <w:rFonts w:ascii="Arial" w:hAnsi="Arial"/>
          <w:szCs w:val="24"/>
        </w:rPr>
        <w:t>he submitted there</w:t>
      </w:r>
      <w:r w:rsidR="004251C1">
        <w:rPr>
          <w:rFonts w:ascii="Arial" w:hAnsi="Arial"/>
          <w:szCs w:val="24"/>
        </w:rPr>
        <w:t xml:space="preserve"> clearly</w:t>
      </w:r>
      <w:r w:rsidR="00CC3D9C">
        <w:rPr>
          <w:rFonts w:ascii="Arial" w:hAnsi="Arial"/>
          <w:szCs w:val="24"/>
        </w:rPr>
        <w:t xml:space="preserve"> were,</w:t>
      </w:r>
      <w:r w:rsidR="00DF38BD">
        <w:rPr>
          <w:rFonts w:ascii="Arial" w:hAnsi="Arial"/>
          <w:szCs w:val="24"/>
        </w:rPr>
        <w:t xml:space="preserve"> the court is enjoined to prefer the interpretation that avoids limiting the constitutional rights of AMCU and its members. </w:t>
      </w:r>
    </w:p>
    <w:p w:rsidR="004B74F7" w:rsidRDefault="00A54FBE" w:rsidP="004B74F7">
      <w:pPr>
        <w:spacing w:line="360" w:lineRule="auto"/>
        <w:ind w:left="720" w:hanging="720"/>
        <w:jc w:val="both"/>
        <w:rPr>
          <w:rFonts w:ascii="Arial" w:hAnsi="Arial"/>
        </w:rPr>
      </w:pPr>
      <w:r>
        <w:rPr>
          <w:rFonts w:ascii="Arial" w:hAnsi="Arial"/>
          <w:sz w:val="24"/>
          <w:szCs w:val="24"/>
        </w:rPr>
        <w:t>[25</w:t>
      </w:r>
      <w:r w:rsidR="007C4E4B" w:rsidRPr="00687565">
        <w:rPr>
          <w:rFonts w:ascii="Arial" w:hAnsi="Arial"/>
          <w:sz w:val="24"/>
          <w:szCs w:val="24"/>
        </w:rPr>
        <w:t>]</w:t>
      </w:r>
      <w:r w:rsidR="007C4E4B" w:rsidRPr="00687565">
        <w:rPr>
          <w:rFonts w:ascii="Arial" w:hAnsi="Arial"/>
          <w:sz w:val="24"/>
          <w:szCs w:val="24"/>
        </w:rPr>
        <w:tab/>
      </w:r>
      <w:r w:rsidR="00681BAF" w:rsidRPr="00687565">
        <w:rPr>
          <w:rFonts w:ascii="Arial" w:hAnsi="Arial"/>
          <w:sz w:val="24"/>
          <w:szCs w:val="24"/>
        </w:rPr>
        <w:t>The principle to be applied</w:t>
      </w:r>
      <w:r w:rsidR="004251C1" w:rsidRPr="00687565">
        <w:rPr>
          <w:rFonts w:ascii="Arial" w:hAnsi="Arial"/>
          <w:sz w:val="24"/>
          <w:szCs w:val="24"/>
        </w:rPr>
        <w:t xml:space="preserve"> in relation to the definition of ‘workplace’</w:t>
      </w:r>
      <w:r w:rsidR="00681BAF" w:rsidRPr="00687565">
        <w:rPr>
          <w:rFonts w:ascii="Arial" w:hAnsi="Arial"/>
          <w:sz w:val="24"/>
          <w:szCs w:val="24"/>
        </w:rPr>
        <w:t xml:space="preserve"> is that the statutory definition should prevail unless it appears that the legislature intended otherwise. That question is itself to be determined by asking whether the application of the statutory definition would result in such injustice or incongruity or absurdity as to lead to the conclusion that the legislature could never have intended the statutory definition to apply</w:t>
      </w:r>
      <w:r w:rsidR="004251C1" w:rsidRPr="00687565">
        <w:rPr>
          <w:rFonts w:ascii="Arial" w:hAnsi="Arial"/>
          <w:sz w:val="24"/>
          <w:szCs w:val="24"/>
        </w:rPr>
        <w:t>.</w:t>
      </w:r>
      <w:r w:rsidR="00AE037B" w:rsidRPr="00687565">
        <w:rPr>
          <w:rStyle w:val="FootnoteReference"/>
          <w:rFonts w:ascii="Arial" w:hAnsi="Arial"/>
          <w:sz w:val="24"/>
          <w:szCs w:val="24"/>
        </w:rPr>
        <w:footnoteReference w:id="11"/>
      </w:r>
      <w:r w:rsidR="00681BAF" w:rsidRPr="00687565">
        <w:rPr>
          <w:rFonts w:ascii="Arial" w:hAnsi="Arial"/>
          <w:sz w:val="24"/>
          <w:szCs w:val="24"/>
        </w:rPr>
        <w:t xml:space="preserve"> </w:t>
      </w:r>
    </w:p>
    <w:p w:rsidR="007A7D9A" w:rsidRDefault="00A54FBE" w:rsidP="00681BAF">
      <w:pPr>
        <w:pStyle w:val="ClaireNew"/>
        <w:numPr>
          <w:ilvl w:val="0"/>
          <w:numId w:val="0"/>
        </w:numPr>
        <w:spacing w:before="240" w:after="120"/>
        <w:ind w:left="720" w:hanging="720"/>
        <w:rPr>
          <w:rFonts w:ascii="Arial" w:hAnsi="Arial"/>
          <w:szCs w:val="24"/>
        </w:rPr>
      </w:pPr>
      <w:r>
        <w:rPr>
          <w:rFonts w:ascii="Arial" w:hAnsi="Arial"/>
          <w:szCs w:val="24"/>
        </w:rPr>
        <w:lastRenderedPageBreak/>
        <w:t>[26</w:t>
      </w:r>
      <w:r w:rsidR="00CC3D9C">
        <w:rPr>
          <w:rFonts w:ascii="Arial" w:hAnsi="Arial"/>
          <w:szCs w:val="24"/>
        </w:rPr>
        <w:t>]</w:t>
      </w:r>
      <w:r w:rsidR="00CC3D9C">
        <w:rPr>
          <w:rFonts w:ascii="Arial" w:hAnsi="Arial"/>
          <w:szCs w:val="24"/>
        </w:rPr>
        <w:tab/>
      </w:r>
      <w:r w:rsidR="00681BAF">
        <w:rPr>
          <w:rFonts w:ascii="Arial" w:hAnsi="Arial"/>
          <w:szCs w:val="24"/>
        </w:rPr>
        <w:t>In the present i</w:t>
      </w:r>
      <w:r w:rsidR="00CC3D9C">
        <w:rPr>
          <w:rFonts w:ascii="Arial" w:hAnsi="Arial"/>
          <w:szCs w:val="24"/>
        </w:rPr>
        <w:t xml:space="preserve">nstance, there is no </w:t>
      </w:r>
      <w:r w:rsidR="00681BAF">
        <w:rPr>
          <w:rFonts w:ascii="Arial" w:hAnsi="Arial"/>
          <w:szCs w:val="24"/>
        </w:rPr>
        <w:t>incongruity or absurdity that results from the applicat</w:t>
      </w:r>
      <w:r w:rsidR="00CC3D9C">
        <w:rPr>
          <w:rFonts w:ascii="Arial" w:hAnsi="Arial"/>
          <w:szCs w:val="24"/>
        </w:rPr>
        <w:t xml:space="preserve">ion of the statutory definition, nor is there any injustice. </w:t>
      </w:r>
      <w:r w:rsidR="00681BAF">
        <w:rPr>
          <w:rFonts w:ascii="Arial" w:hAnsi="Arial"/>
          <w:szCs w:val="24"/>
        </w:rPr>
        <w:t xml:space="preserve"> </w:t>
      </w:r>
      <w:r w:rsidR="007A7D9A">
        <w:rPr>
          <w:rFonts w:ascii="Arial" w:hAnsi="Arial"/>
          <w:szCs w:val="24"/>
        </w:rPr>
        <w:t xml:space="preserve">The language of the definition of ‘workplace’ is plain. </w:t>
      </w:r>
      <w:r w:rsidR="00AA26C4">
        <w:rPr>
          <w:rFonts w:ascii="Arial" w:hAnsi="Arial"/>
          <w:szCs w:val="24"/>
        </w:rPr>
        <w:t xml:space="preserve">It is clear and unambiguous, and does not allow the determination of a workplace to depend (as AMCU implies, by suggesting that every mine is a separate workplace because it has higher levels of representation at certain mines than it does at company level) on whether a particular trade union has a majority, or any particular level of representativity, at a particular place at a particular time. </w:t>
      </w:r>
      <w:r w:rsidR="007A7D9A">
        <w:rPr>
          <w:rFonts w:ascii="Arial" w:hAnsi="Arial"/>
          <w:szCs w:val="24"/>
        </w:rPr>
        <w:t xml:space="preserve">The definition requires a court to </w:t>
      </w:r>
      <w:r w:rsidR="004B74F7">
        <w:rPr>
          <w:rFonts w:ascii="Arial" w:hAnsi="Arial"/>
          <w:szCs w:val="24"/>
        </w:rPr>
        <w:t>focus exclusively on whether those</w:t>
      </w:r>
      <w:r w:rsidR="007A7D9A">
        <w:rPr>
          <w:rFonts w:ascii="Arial" w:hAnsi="Arial"/>
          <w:szCs w:val="24"/>
        </w:rPr>
        <w:t xml:space="preserve"> </w:t>
      </w:r>
      <w:r w:rsidR="004B74F7">
        <w:rPr>
          <w:rFonts w:ascii="Arial" w:hAnsi="Arial"/>
          <w:szCs w:val="24"/>
        </w:rPr>
        <w:t>operations</w:t>
      </w:r>
      <w:r w:rsidR="00CC3D9C">
        <w:rPr>
          <w:rFonts w:ascii="Arial" w:hAnsi="Arial"/>
          <w:szCs w:val="24"/>
        </w:rPr>
        <w:t xml:space="preserve"> carried on </w:t>
      </w:r>
      <w:r w:rsidR="004B74F7">
        <w:rPr>
          <w:rFonts w:ascii="Arial" w:hAnsi="Arial"/>
          <w:szCs w:val="24"/>
        </w:rPr>
        <w:t xml:space="preserve">by the employer </w:t>
      </w:r>
      <w:r w:rsidR="00CC3D9C">
        <w:rPr>
          <w:rFonts w:ascii="Arial" w:hAnsi="Arial"/>
          <w:szCs w:val="24"/>
        </w:rPr>
        <w:t>in</w:t>
      </w:r>
      <w:r w:rsidR="007A7D9A">
        <w:rPr>
          <w:rFonts w:ascii="Arial" w:hAnsi="Arial"/>
          <w:szCs w:val="24"/>
        </w:rPr>
        <w:t xml:space="preserve"> different places are ‘i</w:t>
      </w:r>
      <w:r w:rsidR="00AD7BBE">
        <w:rPr>
          <w:rFonts w:ascii="Arial" w:hAnsi="Arial"/>
          <w:szCs w:val="24"/>
        </w:rPr>
        <w:t>ndependent’ of one another. Independence</w:t>
      </w:r>
      <w:r w:rsidR="007A7D9A">
        <w:rPr>
          <w:rFonts w:ascii="Arial" w:hAnsi="Arial"/>
          <w:szCs w:val="24"/>
        </w:rPr>
        <w:t xml:space="preserve"> is to be determined only by reference to the size, function or organisation </w:t>
      </w:r>
      <w:r w:rsidR="00CC3D9C">
        <w:rPr>
          <w:rFonts w:ascii="Arial" w:hAnsi="Arial"/>
          <w:szCs w:val="24"/>
        </w:rPr>
        <w:t xml:space="preserve">of </w:t>
      </w:r>
      <w:r w:rsidR="007A7D9A">
        <w:rPr>
          <w:rFonts w:ascii="Arial" w:hAnsi="Arial"/>
          <w:szCs w:val="24"/>
        </w:rPr>
        <w:t>the operations</w:t>
      </w:r>
      <w:r w:rsidR="00CC3D9C">
        <w:rPr>
          <w:rFonts w:ascii="Arial" w:hAnsi="Arial"/>
          <w:szCs w:val="24"/>
        </w:rPr>
        <w:t xml:space="preserve"> concerned</w:t>
      </w:r>
      <w:r w:rsidR="007A7D9A">
        <w:rPr>
          <w:rFonts w:ascii="Arial" w:hAnsi="Arial"/>
          <w:szCs w:val="24"/>
        </w:rPr>
        <w:t>. Again, there is no basis for any interpretation that introduces extraneous considerations such as whether a trade union enjoys a particular level of representativity at a particular place. That is a matter that is relevant only at the second stage of the enquiry</w:t>
      </w:r>
      <w:r w:rsidR="00CC3D9C">
        <w:rPr>
          <w:rFonts w:ascii="Arial" w:hAnsi="Arial"/>
          <w:szCs w:val="24"/>
        </w:rPr>
        <w:t xml:space="preserve"> (for the purposes of determining whether the majority threshold has been met)</w:t>
      </w:r>
      <w:r w:rsidR="000F6BDC">
        <w:rPr>
          <w:rFonts w:ascii="Arial" w:hAnsi="Arial"/>
          <w:szCs w:val="24"/>
        </w:rPr>
        <w:t xml:space="preserve">, once the </w:t>
      </w:r>
      <w:r w:rsidR="007A7D9A">
        <w:rPr>
          <w:rFonts w:ascii="Arial" w:hAnsi="Arial"/>
          <w:szCs w:val="24"/>
        </w:rPr>
        <w:t>workplace has been determined.</w:t>
      </w:r>
    </w:p>
    <w:p w:rsidR="007A7D9A" w:rsidRDefault="00A54FBE" w:rsidP="00681BAF">
      <w:pPr>
        <w:pStyle w:val="ClaireNew"/>
        <w:numPr>
          <w:ilvl w:val="0"/>
          <w:numId w:val="0"/>
        </w:numPr>
        <w:spacing w:before="240" w:after="120"/>
        <w:ind w:left="720" w:hanging="720"/>
        <w:rPr>
          <w:rFonts w:ascii="Arial" w:hAnsi="Arial"/>
          <w:szCs w:val="24"/>
        </w:rPr>
      </w:pPr>
      <w:r>
        <w:rPr>
          <w:rFonts w:ascii="Arial" w:hAnsi="Arial"/>
          <w:szCs w:val="24"/>
        </w:rPr>
        <w:t>[27</w:t>
      </w:r>
      <w:r w:rsidR="007A7D9A">
        <w:rPr>
          <w:rFonts w:ascii="Arial" w:hAnsi="Arial"/>
          <w:szCs w:val="24"/>
        </w:rPr>
        <w:t>]</w:t>
      </w:r>
      <w:r w:rsidR="007A7D9A">
        <w:rPr>
          <w:rFonts w:ascii="Arial" w:hAnsi="Arial"/>
          <w:szCs w:val="24"/>
        </w:rPr>
        <w:tab/>
        <w:t>In short, there is no genuine question of interpretation in th</w:t>
      </w:r>
      <w:r w:rsidR="000F6BDC">
        <w:rPr>
          <w:rFonts w:ascii="Arial" w:hAnsi="Arial"/>
          <w:szCs w:val="24"/>
        </w:rPr>
        <w:t>e present instance. The real</w:t>
      </w:r>
      <w:r w:rsidR="007A7D9A">
        <w:rPr>
          <w:rFonts w:ascii="Arial" w:hAnsi="Arial"/>
          <w:szCs w:val="24"/>
        </w:rPr>
        <w:t xml:space="preserve"> complaint by AMCU</w:t>
      </w:r>
      <w:r w:rsidR="000F6BDC">
        <w:rPr>
          <w:rFonts w:ascii="Arial" w:hAnsi="Arial"/>
          <w:szCs w:val="24"/>
        </w:rPr>
        <w:t xml:space="preserve"> would appear to be</w:t>
      </w:r>
      <w:r w:rsidR="007A7D9A">
        <w:rPr>
          <w:rFonts w:ascii="Arial" w:hAnsi="Arial"/>
          <w:szCs w:val="24"/>
        </w:rPr>
        <w:t xml:space="preserve"> that the application of an unambiguous definition to the undisputed facts creates legal consequence which it does not like. </w:t>
      </w:r>
      <w:r w:rsidR="000F6BDC">
        <w:rPr>
          <w:rFonts w:ascii="Arial" w:hAnsi="Arial"/>
          <w:szCs w:val="24"/>
        </w:rPr>
        <w:t xml:space="preserve">That is not a basis to discharge the rule </w:t>
      </w:r>
      <w:r w:rsidR="000F6BDC" w:rsidRPr="000F6BDC">
        <w:rPr>
          <w:rFonts w:ascii="Arial" w:hAnsi="Arial"/>
          <w:i/>
          <w:szCs w:val="24"/>
        </w:rPr>
        <w:t>nisi</w:t>
      </w:r>
      <w:r w:rsidR="000F6BDC">
        <w:rPr>
          <w:rFonts w:ascii="Arial" w:hAnsi="Arial"/>
          <w:szCs w:val="24"/>
        </w:rPr>
        <w:t>.</w:t>
      </w:r>
      <w:r w:rsidR="00AD7BBE">
        <w:rPr>
          <w:rFonts w:ascii="Arial" w:hAnsi="Arial"/>
          <w:szCs w:val="24"/>
        </w:rPr>
        <w:t xml:space="preserve"> What is required is an application of the definition of ‘workplace’ to the facts and a determination of the place or places where the employers’ employees work and whether the employers’ mines, to the extent that they comprise different operations carried on by each employer, can be said to be independent of one another by reason of their size, function or organisation. </w:t>
      </w:r>
    </w:p>
    <w:p w:rsidR="000F6BDC" w:rsidRDefault="00A54FBE" w:rsidP="000F6BDC">
      <w:pPr>
        <w:pStyle w:val="ClaireNew"/>
        <w:numPr>
          <w:ilvl w:val="0"/>
          <w:numId w:val="0"/>
        </w:numPr>
        <w:spacing w:before="240" w:after="120"/>
        <w:ind w:left="720" w:hanging="720"/>
        <w:rPr>
          <w:rFonts w:ascii="Arial" w:hAnsi="Arial"/>
          <w:szCs w:val="24"/>
        </w:rPr>
      </w:pPr>
      <w:r>
        <w:rPr>
          <w:rFonts w:ascii="Arial" w:hAnsi="Arial"/>
          <w:szCs w:val="24"/>
        </w:rPr>
        <w:t>[28</w:t>
      </w:r>
      <w:r w:rsidR="00AD7BBE">
        <w:rPr>
          <w:rFonts w:ascii="Arial" w:hAnsi="Arial"/>
          <w:szCs w:val="24"/>
        </w:rPr>
        <w:t>]</w:t>
      </w:r>
      <w:r w:rsidR="00AD7BBE">
        <w:rPr>
          <w:rFonts w:ascii="Arial" w:hAnsi="Arial"/>
          <w:szCs w:val="24"/>
        </w:rPr>
        <w:tab/>
        <w:t>P</w:t>
      </w:r>
      <w:r w:rsidR="00406A4D">
        <w:rPr>
          <w:rFonts w:ascii="Arial" w:hAnsi="Arial"/>
          <w:szCs w:val="24"/>
        </w:rPr>
        <w:t xml:space="preserve">erhaps the initial </w:t>
      </w:r>
      <w:r w:rsidR="000F6BDC">
        <w:rPr>
          <w:rFonts w:ascii="Arial" w:hAnsi="Arial"/>
          <w:szCs w:val="24"/>
        </w:rPr>
        <w:t>enquiry in any determination of the workplace for the purposes of s 23 (1) (d) is to identify the entity that comprises the employer</w:t>
      </w:r>
      <w:r w:rsidR="00406A4D">
        <w:rPr>
          <w:rFonts w:ascii="Arial" w:hAnsi="Arial"/>
          <w:szCs w:val="24"/>
        </w:rPr>
        <w:t>,</w:t>
      </w:r>
      <w:r w:rsidR="000F6BDC">
        <w:rPr>
          <w:rFonts w:ascii="Arial" w:hAnsi="Arial"/>
          <w:szCs w:val="24"/>
        </w:rPr>
        <w:t xml:space="preserve"> since it is the </w:t>
      </w:r>
      <w:r w:rsidR="00406A4D">
        <w:rPr>
          <w:rFonts w:ascii="Arial" w:hAnsi="Arial"/>
          <w:szCs w:val="24"/>
        </w:rPr>
        <w:t>‘</w:t>
      </w:r>
      <w:r w:rsidR="000F6BDC">
        <w:rPr>
          <w:rFonts w:ascii="Arial" w:hAnsi="Arial"/>
          <w:szCs w:val="24"/>
        </w:rPr>
        <w:t>employees of an employer</w:t>
      </w:r>
      <w:r w:rsidR="00406A4D">
        <w:rPr>
          <w:rFonts w:ascii="Arial" w:hAnsi="Arial"/>
          <w:szCs w:val="24"/>
        </w:rPr>
        <w:t>’</w:t>
      </w:r>
      <w:r w:rsidR="000F6BDC">
        <w:rPr>
          <w:rFonts w:ascii="Arial" w:hAnsi="Arial"/>
          <w:szCs w:val="24"/>
        </w:rPr>
        <w:t xml:space="preserve"> who work in a workplace. In the present instance, it is not disputed that each of the Chamber’s members represented in these </w:t>
      </w:r>
      <w:r w:rsidR="000F6BDC">
        <w:rPr>
          <w:rFonts w:ascii="Arial" w:hAnsi="Arial"/>
          <w:szCs w:val="24"/>
        </w:rPr>
        <w:lastRenderedPageBreak/>
        <w:t>proceedings, Harmony, AngloGold Ashanti and Sibanyane, are the respective employers of those employees whom they contend are bound</w:t>
      </w:r>
      <w:r w:rsidR="00AC1948">
        <w:rPr>
          <w:rFonts w:ascii="Arial" w:hAnsi="Arial"/>
          <w:szCs w:val="24"/>
        </w:rPr>
        <w:t xml:space="preserve"> by</w:t>
      </w:r>
      <w:r w:rsidR="000F6BDC">
        <w:rPr>
          <w:rFonts w:ascii="Arial" w:hAnsi="Arial"/>
          <w:szCs w:val="24"/>
        </w:rPr>
        <w:t xml:space="preserve"> the wage agreement, either on account of membership of the union parties or extension of the agreement. In other words, the ‘employees of an employer’ for the purposes of the definition of ‘workplace’ are all the employees of Harmony, AngloG</w:t>
      </w:r>
      <w:r w:rsidR="00406A4D">
        <w:rPr>
          <w:rFonts w:ascii="Arial" w:hAnsi="Arial"/>
          <w:szCs w:val="24"/>
        </w:rPr>
        <w:t>o</w:t>
      </w:r>
      <w:r w:rsidR="000F6BDC">
        <w:rPr>
          <w:rFonts w:ascii="Arial" w:hAnsi="Arial"/>
          <w:szCs w:val="24"/>
        </w:rPr>
        <w:t>ld Ashanti and Sibanye respectively.</w:t>
      </w:r>
    </w:p>
    <w:p w:rsidR="000F6BDC" w:rsidRPr="005700EB" w:rsidRDefault="00A54FBE" w:rsidP="000F6BDC">
      <w:pPr>
        <w:pStyle w:val="ClaireNew"/>
        <w:numPr>
          <w:ilvl w:val="0"/>
          <w:numId w:val="0"/>
        </w:numPr>
        <w:spacing w:before="240" w:after="120"/>
        <w:ind w:left="720" w:hanging="720"/>
        <w:rPr>
          <w:rFonts w:ascii="Arial" w:hAnsi="Arial"/>
          <w:szCs w:val="24"/>
        </w:rPr>
      </w:pPr>
      <w:r>
        <w:rPr>
          <w:rFonts w:ascii="Arial" w:hAnsi="Arial"/>
          <w:szCs w:val="24"/>
        </w:rPr>
        <w:t>[29</w:t>
      </w:r>
      <w:r w:rsidR="000F6BDC">
        <w:rPr>
          <w:rFonts w:ascii="Arial" w:hAnsi="Arial"/>
          <w:szCs w:val="24"/>
        </w:rPr>
        <w:t>]</w:t>
      </w:r>
      <w:r w:rsidR="000F6BDC">
        <w:rPr>
          <w:rFonts w:ascii="Arial" w:hAnsi="Arial"/>
          <w:szCs w:val="24"/>
        </w:rPr>
        <w:tab/>
        <w:t xml:space="preserve">Next, it is necessary to determine the ‘place or places’ where the employees work. This will determine, by way of general rule, the single ‘workplace’ for the purposes of the LRA. </w:t>
      </w:r>
      <w:r w:rsidR="000F6BDC" w:rsidRPr="005700EB">
        <w:rPr>
          <w:rFonts w:ascii="Arial" w:hAnsi="Arial"/>
          <w:szCs w:val="24"/>
        </w:rPr>
        <w:t xml:space="preserve">The second part of the definition is in the nature of the proviso – </w:t>
      </w:r>
      <w:r w:rsidR="000F6BDC">
        <w:rPr>
          <w:rFonts w:ascii="Arial" w:hAnsi="Arial"/>
          <w:szCs w:val="24"/>
        </w:rPr>
        <w:t>it creates</w:t>
      </w:r>
      <w:r w:rsidR="000F6BDC" w:rsidRPr="005700EB">
        <w:rPr>
          <w:rFonts w:ascii="Arial" w:hAnsi="Arial"/>
          <w:szCs w:val="24"/>
        </w:rPr>
        <w:t xml:space="preserve"> an exception to the primary element of the definition. Brassey comments:</w:t>
      </w:r>
    </w:p>
    <w:p w:rsidR="000F6BDC" w:rsidRDefault="000F6BDC" w:rsidP="000F6BDC">
      <w:pPr>
        <w:pStyle w:val="ClaireNew"/>
        <w:numPr>
          <w:ilvl w:val="0"/>
          <w:numId w:val="0"/>
        </w:numPr>
        <w:spacing w:before="240" w:after="120"/>
        <w:ind w:left="1440"/>
        <w:rPr>
          <w:rFonts w:ascii="Arial" w:hAnsi="Arial"/>
          <w:sz w:val="22"/>
          <w:szCs w:val="24"/>
        </w:rPr>
      </w:pPr>
      <w:r>
        <w:rPr>
          <w:rFonts w:ascii="Arial" w:hAnsi="Arial"/>
          <w:szCs w:val="24"/>
        </w:rPr>
        <w:t>‘</w:t>
      </w:r>
      <w:r>
        <w:rPr>
          <w:rFonts w:ascii="Arial" w:hAnsi="Arial"/>
          <w:sz w:val="22"/>
          <w:szCs w:val="24"/>
        </w:rPr>
        <w:t xml:space="preserve">In the private sector the nature of a ‘workplace’ is a question of fact. If the employees all work in one place, it is the workplace: if they are divided into separate branches or depots, the separate locations can each be a workplace. Deciding whether two locations are separate workplaces entails an examination of the extent to which operate independently of each other, which in turn entails a consideration of the size, function and organisation of each. Geographical separation will be important, but will not always be decisive.’ </w:t>
      </w:r>
      <w:r>
        <w:rPr>
          <w:rStyle w:val="FootnoteReference"/>
          <w:rFonts w:ascii="Arial" w:hAnsi="Arial"/>
          <w:sz w:val="22"/>
          <w:szCs w:val="24"/>
        </w:rPr>
        <w:footnoteReference w:id="12"/>
      </w:r>
    </w:p>
    <w:p w:rsidR="00E016CB" w:rsidRDefault="00A54FBE" w:rsidP="000F6BDC">
      <w:pPr>
        <w:pStyle w:val="ClaireNew"/>
        <w:numPr>
          <w:ilvl w:val="0"/>
          <w:numId w:val="0"/>
        </w:numPr>
        <w:spacing w:before="240" w:after="120"/>
        <w:ind w:left="720" w:hanging="720"/>
        <w:rPr>
          <w:rFonts w:ascii="Arial" w:hAnsi="Arial"/>
          <w:szCs w:val="24"/>
        </w:rPr>
      </w:pPr>
      <w:r>
        <w:rPr>
          <w:rFonts w:ascii="Arial" w:hAnsi="Arial"/>
          <w:szCs w:val="24"/>
        </w:rPr>
        <w:t xml:space="preserve"> [30</w:t>
      </w:r>
      <w:r w:rsidR="000F6BDC">
        <w:rPr>
          <w:rFonts w:ascii="Arial" w:hAnsi="Arial"/>
          <w:szCs w:val="24"/>
        </w:rPr>
        <w:t>]</w:t>
      </w:r>
      <w:r w:rsidR="000F6BDC">
        <w:rPr>
          <w:rFonts w:ascii="Arial" w:hAnsi="Arial"/>
          <w:szCs w:val="24"/>
        </w:rPr>
        <w:tab/>
        <w:t>In the present instance, as I have indicated, there is consensus on the relevant factual matrix. What remains is to apply the definition to the facts. Here, as I have indicated, Harmony, Anglo Gold Ashanti and Sibanye Gold are the respective employers of the affected employees. The starting point must therefore be that the places where the employees work, even though they are geographically disparate, constitute the workplace for the purposes of s 23 (1) (d).</w:t>
      </w:r>
      <w:r w:rsidR="00E016CB">
        <w:rPr>
          <w:rFonts w:ascii="Arial" w:hAnsi="Arial"/>
          <w:szCs w:val="24"/>
        </w:rPr>
        <w:t xml:space="preserve"> It is not seriously disputed that the places where the employees work are the mines and operations of each of the employer parties to the wage agreement. </w:t>
      </w:r>
    </w:p>
    <w:p w:rsidR="00DD3451" w:rsidRDefault="00A54FBE" w:rsidP="000F6BDC">
      <w:pPr>
        <w:pStyle w:val="ClaireNew"/>
        <w:numPr>
          <w:ilvl w:val="0"/>
          <w:numId w:val="0"/>
        </w:numPr>
        <w:spacing w:before="240" w:after="120"/>
        <w:ind w:left="720" w:hanging="720"/>
        <w:rPr>
          <w:rFonts w:ascii="Arial" w:hAnsi="Arial"/>
          <w:szCs w:val="24"/>
        </w:rPr>
      </w:pPr>
      <w:r>
        <w:rPr>
          <w:rFonts w:ascii="Arial" w:hAnsi="Arial"/>
          <w:szCs w:val="24"/>
        </w:rPr>
        <w:t>[31</w:t>
      </w:r>
      <w:r w:rsidR="00E016CB">
        <w:rPr>
          <w:rFonts w:ascii="Arial" w:hAnsi="Arial"/>
          <w:szCs w:val="24"/>
        </w:rPr>
        <w:t>]</w:t>
      </w:r>
      <w:r w:rsidR="00E016CB">
        <w:rPr>
          <w:rFonts w:ascii="Arial" w:hAnsi="Arial"/>
          <w:szCs w:val="24"/>
        </w:rPr>
        <w:tab/>
        <w:t>In support of its contention that each mine is a discrete workplace,</w:t>
      </w:r>
      <w:r w:rsidR="000F6BDC">
        <w:rPr>
          <w:rFonts w:ascii="Arial" w:hAnsi="Arial"/>
          <w:szCs w:val="24"/>
        </w:rPr>
        <w:t xml:space="preserve"> AMCU </w:t>
      </w:r>
      <w:r w:rsidR="00E016CB">
        <w:rPr>
          <w:rFonts w:ascii="Arial" w:hAnsi="Arial"/>
          <w:szCs w:val="24"/>
        </w:rPr>
        <w:t>relies on the proviso in the definition to contend</w:t>
      </w:r>
      <w:r w:rsidR="000F6BDC">
        <w:rPr>
          <w:rFonts w:ascii="Arial" w:hAnsi="Arial"/>
          <w:szCs w:val="24"/>
        </w:rPr>
        <w:t xml:space="preserve"> that the mines fall to be </w:t>
      </w:r>
      <w:r w:rsidR="00E016CB">
        <w:rPr>
          <w:rFonts w:ascii="Arial" w:hAnsi="Arial"/>
          <w:szCs w:val="24"/>
        </w:rPr>
        <w:t xml:space="preserve">treated as an </w:t>
      </w:r>
      <w:r w:rsidR="00E016CB">
        <w:rPr>
          <w:rFonts w:ascii="Arial" w:hAnsi="Arial"/>
          <w:szCs w:val="24"/>
        </w:rPr>
        <w:lastRenderedPageBreak/>
        <w:t>independent unit. In my view,</w:t>
      </w:r>
      <w:r w:rsidR="000F6BDC">
        <w:rPr>
          <w:rFonts w:ascii="Arial" w:hAnsi="Arial"/>
          <w:szCs w:val="24"/>
        </w:rPr>
        <w:t xml:space="preserve"> all of the evidence points to </w:t>
      </w:r>
      <w:r w:rsidR="00E016CB">
        <w:rPr>
          <w:rFonts w:ascii="Arial" w:hAnsi="Arial"/>
          <w:szCs w:val="24"/>
        </w:rPr>
        <w:t xml:space="preserve">a contrary conclusion, to </w:t>
      </w:r>
      <w:r w:rsidR="000F6BDC">
        <w:rPr>
          <w:rFonts w:ascii="Arial" w:hAnsi="Arial"/>
          <w:szCs w:val="24"/>
        </w:rPr>
        <w:t>an integrated operation, certainly by reference to function and organisation. To the extent that AMCU’s supplementary affidavit makes mention of the additional facts of the existence of recognition agreements and statutory reports, there are obviously relevant to the determination of i</w:t>
      </w:r>
      <w:r w:rsidR="004B74F7">
        <w:rPr>
          <w:rFonts w:ascii="Arial" w:hAnsi="Arial"/>
          <w:szCs w:val="24"/>
        </w:rPr>
        <w:t>ndependence, by reference particularly to the factors of</w:t>
      </w:r>
      <w:r w:rsidR="00E016CB">
        <w:rPr>
          <w:rFonts w:ascii="Arial" w:hAnsi="Arial"/>
          <w:szCs w:val="24"/>
        </w:rPr>
        <w:t xml:space="preserve"> function and organisation. </w:t>
      </w:r>
      <w:r w:rsidR="000F6BDC">
        <w:rPr>
          <w:rFonts w:ascii="Arial" w:hAnsi="Arial"/>
          <w:szCs w:val="24"/>
        </w:rPr>
        <w:t xml:space="preserve">These are that AMCU enjoys majority support at three of Anglo Gold Ashanti’s mines (Mponeng, Savuka and Tautona), and that two charter compliance reports and two social and plans (one each for the mines in the West Wits and Vaal River areas). AMCU contends that the latter are destructive of the allegation that Anglo Gold Ashanti operates as a single workplace. </w:t>
      </w:r>
      <w:r w:rsidR="00DD3451">
        <w:rPr>
          <w:rFonts w:ascii="Arial" w:hAnsi="Arial"/>
          <w:szCs w:val="24"/>
        </w:rPr>
        <w:t>Indeed, AMCU appears to submit that these factors are decisive of the fact that each mine operates independently.</w:t>
      </w:r>
    </w:p>
    <w:p w:rsidR="000F6BDC" w:rsidRDefault="00A54FBE" w:rsidP="000F6BDC">
      <w:pPr>
        <w:pStyle w:val="ClaireNew"/>
        <w:numPr>
          <w:ilvl w:val="0"/>
          <w:numId w:val="0"/>
        </w:numPr>
        <w:spacing w:before="240" w:after="120"/>
        <w:ind w:left="720" w:hanging="720"/>
        <w:rPr>
          <w:rFonts w:ascii="Arial" w:hAnsi="Arial"/>
          <w:szCs w:val="24"/>
        </w:rPr>
      </w:pPr>
      <w:r>
        <w:rPr>
          <w:rFonts w:ascii="Arial" w:hAnsi="Arial"/>
          <w:szCs w:val="24"/>
        </w:rPr>
        <w:t>[32</w:t>
      </w:r>
      <w:r w:rsidR="00DD3451">
        <w:rPr>
          <w:rFonts w:ascii="Arial" w:hAnsi="Arial"/>
          <w:szCs w:val="24"/>
        </w:rPr>
        <w:t>]</w:t>
      </w:r>
      <w:r w:rsidR="00DD3451">
        <w:rPr>
          <w:rFonts w:ascii="Arial" w:hAnsi="Arial"/>
          <w:szCs w:val="24"/>
        </w:rPr>
        <w:tab/>
      </w:r>
      <w:r w:rsidR="000F6BDC">
        <w:rPr>
          <w:rFonts w:ascii="Arial" w:hAnsi="Arial"/>
          <w:szCs w:val="24"/>
        </w:rPr>
        <w:t>In relation to the first factor, the fact that AMCU enjoys majority support at three of Anglo Gold Ashanti’s mines is of little if any consequence. A ‘workplace’ for the purposes of th</w:t>
      </w:r>
      <w:r w:rsidR="00AC1948">
        <w:rPr>
          <w:rFonts w:ascii="Arial" w:hAnsi="Arial"/>
          <w:szCs w:val="24"/>
        </w:rPr>
        <w:t>e LRA is not a bargaining unit a</w:t>
      </w:r>
      <w:r w:rsidR="000F6BDC">
        <w:rPr>
          <w:rFonts w:ascii="Arial" w:hAnsi="Arial"/>
          <w:szCs w:val="24"/>
        </w:rPr>
        <w:t>s defined by the parties to a collective bargaining relationship. The definition, by stipulating the place or places where the employees work as the primary criterion with three further subcategories that may be relevant where two or more independent operations are conducted, clearly did not intend that any agreed bargaining unit would be a directly relevant criterion. In any event, the agreements on which AMCU relies makes it abundantly clear that collective bargaining on wages and substantive conditions of emp</w:t>
      </w:r>
      <w:r w:rsidR="008F0A98">
        <w:rPr>
          <w:rFonts w:ascii="Arial" w:hAnsi="Arial"/>
          <w:szCs w:val="24"/>
        </w:rPr>
        <w:t>loyment will be dealt with at</w:t>
      </w:r>
      <w:r w:rsidR="000F6BDC">
        <w:rPr>
          <w:rFonts w:ascii="Arial" w:hAnsi="Arial"/>
          <w:szCs w:val="24"/>
        </w:rPr>
        <w:t xml:space="preserve"> central level. </w:t>
      </w:r>
    </w:p>
    <w:p w:rsidR="000F6BDC" w:rsidRDefault="00A54FBE" w:rsidP="000F6BDC">
      <w:pPr>
        <w:pStyle w:val="ClaireNew"/>
        <w:numPr>
          <w:ilvl w:val="0"/>
          <w:numId w:val="0"/>
        </w:numPr>
        <w:spacing w:before="240" w:after="120"/>
        <w:ind w:left="720" w:hanging="720"/>
        <w:rPr>
          <w:rFonts w:ascii="Arial" w:hAnsi="Arial"/>
          <w:szCs w:val="24"/>
        </w:rPr>
      </w:pPr>
      <w:r>
        <w:rPr>
          <w:rFonts w:ascii="Arial" w:hAnsi="Arial"/>
          <w:szCs w:val="24"/>
        </w:rPr>
        <w:t>[33</w:t>
      </w:r>
      <w:r w:rsidR="00AD7BBE">
        <w:rPr>
          <w:rFonts w:ascii="Arial" w:hAnsi="Arial"/>
          <w:szCs w:val="24"/>
        </w:rPr>
        <w:t>]</w:t>
      </w:r>
      <w:r w:rsidR="000F6BDC">
        <w:rPr>
          <w:rFonts w:ascii="Arial" w:hAnsi="Arial"/>
          <w:szCs w:val="24"/>
        </w:rPr>
        <w:tab/>
        <w:t xml:space="preserve">The fact that reports have been submitted in the discharge of obligations under the charter or in terms of other regulations promulgated under mining legislation does not, in my view, tip the scales in favour of a narrower definition.  In the replying supplementary affidavit, the reasons for separate reporting are explained. In short, the submission of the reports in question is regulated by statute, or because the reports on a permanent basis of into a specific mining rights granted in respect of a particular farm of farms, which accounts for the fact that multiple reports have been submitted. In addition, reports are submitted on a </w:t>
      </w:r>
      <w:r w:rsidR="000F6BDC">
        <w:rPr>
          <w:rFonts w:ascii="Arial" w:hAnsi="Arial"/>
          <w:szCs w:val="24"/>
        </w:rPr>
        <w:lastRenderedPageBreak/>
        <w:t>provincial basis as required by the DMR. In any event, it is not disputed that there is a high degree of supervision at a centralised level over the content and submission of both the plans and reports.</w:t>
      </w:r>
    </w:p>
    <w:p w:rsidR="000F6BDC" w:rsidRDefault="00A54FBE" w:rsidP="000F6BDC">
      <w:pPr>
        <w:pStyle w:val="ClaireNew"/>
        <w:numPr>
          <w:ilvl w:val="0"/>
          <w:numId w:val="0"/>
        </w:numPr>
        <w:spacing w:before="240" w:after="120"/>
        <w:ind w:left="720" w:hanging="720"/>
        <w:rPr>
          <w:rFonts w:ascii="Arial" w:hAnsi="Arial"/>
          <w:szCs w:val="24"/>
        </w:rPr>
      </w:pPr>
      <w:r>
        <w:rPr>
          <w:rFonts w:ascii="Arial" w:hAnsi="Arial"/>
          <w:szCs w:val="24"/>
        </w:rPr>
        <w:t>[34</w:t>
      </w:r>
      <w:r w:rsidR="000F6BDC">
        <w:rPr>
          <w:rFonts w:ascii="Arial" w:hAnsi="Arial"/>
          <w:szCs w:val="24"/>
        </w:rPr>
        <w:t>]</w:t>
      </w:r>
      <w:r w:rsidR="000F6BDC">
        <w:rPr>
          <w:rFonts w:ascii="Arial" w:hAnsi="Arial"/>
          <w:szCs w:val="24"/>
        </w:rPr>
        <w:tab/>
        <w:t xml:space="preserve">To the extent that AMCU places determinative weight on geographic proximity, this is not irrelevant factor, but must be weighed with other factors relevant to a determination of independence by virtue of size, function and organization. In this regard, Clive Thompson has contrasted the definition and the LRA with that applicable in Australia: </w:t>
      </w:r>
    </w:p>
    <w:p w:rsidR="000F6BDC" w:rsidRDefault="000F6BDC" w:rsidP="000F6BDC">
      <w:pPr>
        <w:pStyle w:val="ClaireNew"/>
        <w:numPr>
          <w:ilvl w:val="0"/>
          <w:numId w:val="0"/>
        </w:numPr>
        <w:spacing w:before="240" w:after="120"/>
        <w:ind w:left="1440"/>
        <w:rPr>
          <w:rFonts w:ascii="Arial" w:hAnsi="Arial"/>
          <w:sz w:val="22"/>
          <w:szCs w:val="22"/>
        </w:rPr>
      </w:pPr>
      <w:r w:rsidRPr="006365E7">
        <w:rPr>
          <w:rFonts w:ascii="Arial" w:hAnsi="Arial"/>
          <w:sz w:val="22"/>
          <w:szCs w:val="22"/>
        </w:rPr>
        <w:t>‘A ‘workplace’</w:t>
      </w:r>
      <w:r>
        <w:rPr>
          <w:rFonts w:ascii="Arial" w:hAnsi="Arial"/>
          <w:sz w:val="22"/>
          <w:szCs w:val="22"/>
        </w:rPr>
        <w:t xml:space="preserve"> encompasses all the different places of work of an employer (unless some of them are independent in the same specified in the definition). On the other hand, one worksite may be fragmented into several ‘workplaces’ if independent operations are identified there. Compare the Australian approach, which focuses on the individual geographical site: a workplace is ‘a single physical area occupied by the establishment from which it engages in productive activity on the relatively permanent basis.’</w:t>
      </w:r>
      <w:r>
        <w:rPr>
          <w:rStyle w:val="FootnoteReference"/>
          <w:rFonts w:ascii="Arial" w:hAnsi="Arial"/>
          <w:sz w:val="22"/>
          <w:szCs w:val="22"/>
        </w:rPr>
        <w:footnoteReference w:id="13"/>
      </w:r>
    </w:p>
    <w:p w:rsidR="000F6BDC" w:rsidRDefault="00A54FBE" w:rsidP="000F6BDC">
      <w:pPr>
        <w:pStyle w:val="ClaireNew"/>
        <w:numPr>
          <w:ilvl w:val="0"/>
          <w:numId w:val="0"/>
        </w:numPr>
        <w:spacing w:before="240" w:after="120"/>
        <w:ind w:left="720" w:hanging="720"/>
        <w:rPr>
          <w:rFonts w:ascii="Arial" w:hAnsi="Arial"/>
          <w:szCs w:val="24"/>
        </w:rPr>
      </w:pPr>
      <w:r>
        <w:rPr>
          <w:rFonts w:ascii="Arial" w:hAnsi="Arial"/>
          <w:szCs w:val="24"/>
        </w:rPr>
        <w:t>[35</w:t>
      </w:r>
      <w:r w:rsidR="000F6BDC">
        <w:rPr>
          <w:rFonts w:ascii="Arial" w:hAnsi="Arial"/>
          <w:szCs w:val="24"/>
        </w:rPr>
        <w:t>]</w:t>
      </w:r>
      <w:r w:rsidR="000F6BDC">
        <w:rPr>
          <w:rFonts w:ascii="Arial" w:hAnsi="Arial"/>
          <w:szCs w:val="24"/>
        </w:rPr>
        <w:tab/>
        <w:t>The only conclusion to be drawn from the above facts is that the places where the employees of Harmony, Sibanye and AngloGold Ashanti work are the mines and operations respectively managed by those entities, and that none of mines and operations is independent of the other by reason of size, function or organisation. There is no</w:t>
      </w:r>
      <w:r w:rsidR="00AD2E25">
        <w:rPr>
          <w:rFonts w:ascii="Arial" w:hAnsi="Arial"/>
          <w:szCs w:val="24"/>
        </w:rPr>
        <w:t xml:space="preserve"> factual</w:t>
      </w:r>
      <w:r w:rsidR="000F6BDC">
        <w:rPr>
          <w:rFonts w:ascii="Arial" w:hAnsi="Arial"/>
          <w:szCs w:val="24"/>
        </w:rPr>
        <w:t xml:space="preserve"> basis in the papers b</w:t>
      </w:r>
      <w:r w:rsidR="00AD2E25">
        <w:rPr>
          <w:rFonts w:ascii="Arial" w:hAnsi="Arial"/>
          <w:szCs w:val="24"/>
        </w:rPr>
        <w:t>efore me to conclude that each of the employer’s</w:t>
      </w:r>
      <w:r w:rsidR="000F6BDC">
        <w:rPr>
          <w:rFonts w:ascii="Arial" w:hAnsi="Arial"/>
          <w:szCs w:val="24"/>
        </w:rPr>
        <w:t xml:space="preserve"> mines operate as independent units. On the contrary, as Cele J found, Harmony, AngloGold Ashanti and Sibanye each constitute a ‘workplace’ for th</w:t>
      </w:r>
      <w:r w:rsidR="00AD2E25">
        <w:rPr>
          <w:rFonts w:ascii="Arial" w:hAnsi="Arial"/>
          <w:szCs w:val="24"/>
        </w:rPr>
        <w:t xml:space="preserve">e purposes of s 23 (1) (d). It follows </w:t>
      </w:r>
      <w:r w:rsidR="000F6BDC">
        <w:rPr>
          <w:rFonts w:ascii="Arial" w:hAnsi="Arial"/>
          <w:szCs w:val="24"/>
        </w:rPr>
        <w:t xml:space="preserve">that the wage agreement was validly extended in terms of that </w:t>
      </w:r>
      <w:r w:rsidR="00AA26C4">
        <w:rPr>
          <w:rFonts w:ascii="Arial" w:hAnsi="Arial"/>
          <w:szCs w:val="24"/>
        </w:rPr>
        <w:t>subsection</w:t>
      </w:r>
      <w:r w:rsidR="00AD2E25">
        <w:rPr>
          <w:rFonts w:ascii="Arial" w:hAnsi="Arial"/>
          <w:szCs w:val="24"/>
        </w:rPr>
        <w:t xml:space="preserve"> and</w:t>
      </w:r>
      <w:r w:rsidR="000F6BDC">
        <w:rPr>
          <w:rFonts w:ascii="Arial" w:hAnsi="Arial"/>
          <w:szCs w:val="24"/>
        </w:rPr>
        <w:t xml:space="preserve"> that any strike by members of AMCU would be</w:t>
      </w:r>
      <w:r w:rsidR="00AD2E25">
        <w:rPr>
          <w:rFonts w:ascii="Arial" w:hAnsi="Arial"/>
          <w:szCs w:val="24"/>
        </w:rPr>
        <w:t xml:space="preserve"> in breach of s 65 (1) (a). </w:t>
      </w:r>
    </w:p>
    <w:p w:rsidR="00E016CB" w:rsidRDefault="00A54FBE" w:rsidP="00E016CB">
      <w:pPr>
        <w:pStyle w:val="ClaireNew"/>
        <w:numPr>
          <w:ilvl w:val="0"/>
          <w:numId w:val="0"/>
        </w:numPr>
        <w:spacing w:before="240" w:after="120"/>
        <w:ind w:left="720" w:hanging="720"/>
        <w:rPr>
          <w:rFonts w:ascii="Arial" w:hAnsi="Arial"/>
          <w:szCs w:val="24"/>
        </w:rPr>
      </w:pPr>
      <w:r>
        <w:rPr>
          <w:rFonts w:ascii="Arial" w:hAnsi="Arial"/>
          <w:szCs w:val="24"/>
        </w:rPr>
        <w:t>[36</w:t>
      </w:r>
      <w:r w:rsidR="00E016CB">
        <w:rPr>
          <w:rFonts w:ascii="Arial" w:hAnsi="Arial"/>
          <w:szCs w:val="24"/>
        </w:rPr>
        <w:t>]</w:t>
      </w:r>
      <w:r w:rsidR="00E016CB">
        <w:rPr>
          <w:rFonts w:ascii="Arial" w:hAnsi="Arial"/>
          <w:szCs w:val="24"/>
        </w:rPr>
        <w:tab/>
        <w:t xml:space="preserve">I am satisfied that the Chamber has established a clear right to the relief it seeks and that all of the other requirements relevant to final relief having been satisfied, the rule </w:t>
      </w:r>
      <w:r w:rsidR="00E016CB" w:rsidRPr="0055219A">
        <w:rPr>
          <w:rFonts w:ascii="Arial" w:hAnsi="Arial"/>
          <w:i/>
          <w:szCs w:val="24"/>
        </w:rPr>
        <w:t>nisi</w:t>
      </w:r>
      <w:r w:rsidR="00E016CB">
        <w:rPr>
          <w:rFonts w:ascii="Arial" w:hAnsi="Arial"/>
          <w:szCs w:val="24"/>
        </w:rPr>
        <w:t xml:space="preserve"> issued on 30 January 2014 stands to be confirmed.</w:t>
      </w:r>
    </w:p>
    <w:p w:rsidR="00E016CB" w:rsidRDefault="00A54FBE" w:rsidP="000F6BDC">
      <w:pPr>
        <w:pStyle w:val="ClaireNew"/>
        <w:numPr>
          <w:ilvl w:val="0"/>
          <w:numId w:val="0"/>
        </w:numPr>
        <w:spacing w:before="240" w:after="120"/>
        <w:ind w:left="720" w:hanging="720"/>
        <w:rPr>
          <w:rFonts w:ascii="Arial" w:hAnsi="Arial"/>
          <w:szCs w:val="24"/>
        </w:rPr>
      </w:pPr>
      <w:r>
        <w:rPr>
          <w:rFonts w:ascii="Arial" w:hAnsi="Arial"/>
          <w:szCs w:val="24"/>
        </w:rPr>
        <w:lastRenderedPageBreak/>
        <w:t>[37</w:t>
      </w:r>
      <w:r w:rsidR="00DD3451">
        <w:rPr>
          <w:rFonts w:ascii="Arial" w:hAnsi="Arial"/>
          <w:szCs w:val="24"/>
        </w:rPr>
        <w:t>]</w:t>
      </w:r>
      <w:r w:rsidR="00DD3451">
        <w:rPr>
          <w:rFonts w:ascii="Arial" w:hAnsi="Arial"/>
          <w:szCs w:val="24"/>
        </w:rPr>
        <w:tab/>
      </w:r>
      <w:r w:rsidR="00201ED3">
        <w:rPr>
          <w:rFonts w:ascii="Arial" w:hAnsi="Arial"/>
          <w:szCs w:val="24"/>
        </w:rPr>
        <w:t xml:space="preserve">AMCU </w:t>
      </w:r>
      <w:r w:rsidR="000A506A">
        <w:rPr>
          <w:rFonts w:ascii="Arial" w:hAnsi="Arial"/>
          <w:szCs w:val="24"/>
        </w:rPr>
        <w:t>has also raised</w:t>
      </w:r>
      <w:r w:rsidR="00201ED3">
        <w:rPr>
          <w:rFonts w:ascii="Arial" w:hAnsi="Arial"/>
          <w:szCs w:val="24"/>
        </w:rPr>
        <w:t xml:space="preserve"> an interpretational issue</w:t>
      </w:r>
      <w:r w:rsidR="00AD7BBE">
        <w:rPr>
          <w:rFonts w:ascii="Arial" w:hAnsi="Arial"/>
          <w:szCs w:val="24"/>
        </w:rPr>
        <w:t xml:space="preserve"> in relation to s 23 (1) (d)</w:t>
      </w:r>
      <w:r w:rsidR="00201ED3">
        <w:rPr>
          <w:rFonts w:ascii="Arial" w:hAnsi="Arial"/>
          <w:szCs w:val="24"/>
        </w:rPr>
        <w:t xml:space="preserve">. </w:t>
      </w:r>
      <w:r w:rsidR="000A506A">
        <w:rPr>
          <w:rFonts w:ascii="Arial" w:hAnsi="Arial"/>
          <w:szCs w:val="24"/>
        </w:rPr>
        <w:t xml:space="preserve">In particular, </w:t>
      </w:r>
      <w:r w:rsidR="00790F45">
        <w:rPr>
          <w:rFonts w:ascii="Arial" w:hAnsi="Arial"/>
          <w:szCs w:val="24"/>
        </w:rPr>
        <w:t>Mr.</w:t>
      </w:r>
      <w:r w:rsidR="000A506A">
        <w:rPr>
          <w:rFonts w:ascii="Arial" w:hAnsi="Arial"/>
          <w:szCs w:val="24"/>
        </w:rPr>
        <w:t xml:space="preserve"> Kennedy submitted </w:t>
      </w:r>
      <w:r w:rsidR="00201ED3">
        <w:rPr>
          <w:rFonts w:ascii="Arial" w:hAnsi="Arial"/>
          <w:szCs w:val="24"/>
        </w:rPr>
        <w:t>that the word ‘workplace’, taken in context, can be reasonably interpreted to mean that each individual m</w:t>
      </w:r>
      <w:r w:rsidR="00AD7BBE">
        <w:rPr>
          <w:rFonts w:ascii="Arial" w:hAnsi="Arial"/>
          <w:szCs w:val="24"/>
        </w:rPr>
        <w:t xml:space="preserve">ine is a workplace. He contended that </w:t>
      </w:r>
      <w:r w:rsidR="00201ED3">
        <w:rPr>
          <w:rFonts w:ascii="Arial" w:hAnsi="Arial"/>
          <w:szCs w:val="24"/>
        </w:rPr>
        <w:t xml:space="preserve">the court is </w:t>
      </w:r>
      <w:r w:rsidR="00AD7BBE">
        <w:rPr>
          <w:rFonts w:ascii="Arial" w:hAnsi="Arial"/>
          <w:szCs w:val="24"/>
        </w:rPr>
        <w:t xml:space="preserve">accordingly </w:t>
      </w:r>
      <w:r w:rsidR="00201ED3">
        <w:rPr>
          <w:rFonts w:ascii="Arial" w:hAnsi="Arial"/>
          <w:szCs w:val="24"/>
        </w:rPr>
        <w:t>enjoined to adopt that interpretation, since it is</w:t>
      </w:r>
      <w:r w:rsidR="00D47BB1">
        <w:rPr>
          <w:rFonts w:ascii="Arial" w:hAnsi="Arial"/>
          <w:szCs w:val="24"/>
        </w:rPr>
        <w:t xml:space="preserve"> the interpretation that best</w:t>
      </w:r>
      <w:r w:rsidR="00201ED3">
        <w:rPr>
          <w:rFonts w:ascii="Arial" w:hAnsi="Arial"/>
          <w:szCs w:val="24"/>
        </w:rPr>
        <w:t xml:space="preserve"> promotes the fundamental rights to engage in collective bargaining and to strike. If the definition</w:t>
      </w:r>
      <w:r w:rsidR="00D47BB1">
        <w:rPr>
          <w:rFonts w:ascii="Arial" w:hAnsi="Arial"/>
          <w:szCs w:val="24"/>
        </w:rPr>
        <w:t xml:space="preserve"> is</w:t>
      </w:r>
      <w:r w:rsidR="00201ED3">
        <w:rPr>
          <w:rFonts w:ascii="Arial" w:hAnsi="Arial"/>
          <w:szCs w:val="24"/>
        </w:rPr>
        <w:t xml:space="preserve"> </w:t>
      </w:r>
      <w:r w:rsidR="00AC1948">
        <w:rPr>
          <w:rFonts w:ascii="Arial" w:hAnsi="Arial"/>
          <w:szCs w:val="24"/>
        </w:rPr>
        <w:t xml:space="preserve">found </w:t>
      </w:r>
      <w:r w:rsidR="00D47BB1">
        <w:rPr>
          <w:rFonts w:ascii="Arial" w:hAnsi="Arial"/>
          <w:szCs w:val="24"/>
        </w:rPr>
        <w:t xml:space="preserve">not </w:t>
      </w:r>
      <w:r w:rsidR="000A506A">
        <w:rPr>
          <w:rFonts w:ascii="Arial" w:hAnsi="Arial"/>
          <w:szCs w:val="24"/>
        </w:rPr>
        <w:t>to be</w:t>
      </w:r>
      <w:r w:rsidR="00201ED3">
        <w:rPr>
          <w:rFonts w:ascii="Arial" w:hAnsi="Arial"/>
          <w:szCs w:val="24"/>
        </w:rPr>
        <w:t xml:space="preserve"> reasonably capable of the interpretation contended for, then AMCU submits that s 23 (1) (d), read with s 65 (1) (a) and the defini</w:t>
      </w:r>
      <w:r w:rsidR="00792474">
        <w:rPr>
          <w:rFonts w:ascii="Arial" w:hAnsi="Arial"/>
          <w:szCs w:val="24"/>
        </w:rPr>
        <w:t>tion of workplace, is unconstituti</w:t>
      </w:r>
      <w:r w:rsidR="00201ED3">
        <w:rPr>
          <w:rFonts w:ascii="Arial" w:hAnsi="Arial"/>
          <w:szCs w:val="24"/>
        </w:rPr>
        <w:t xml:space="preserve">onal. This is the relief sought in the counter application. </w:t>
      </w:r>
      <w:r w:rsidR="00792474">
        <w:rPr>
          <w:rFonts w:ascii="Arial" w:hAnsi="Arial"/>
          <w:szCs w:val="24"/>
        </w:rPr>
        <w:t xml:space="preserve">The main and the counter-application are </w:t>
      </w:r>
      <w:r w:rsidR="000A506A">
        <w:rPr>
          <w:rFonts w:ascii="Arial" w:hAnsi="Arial"/>
          <w:szCs w:val="24"/>
        </w:rPr>
        <w:t xml:space="preserve">therefore interrelated.  None of the respondents in that application disputes that </w:t>
      </w:r>
      <w:r w:rsidR="00792474">
        <w:rPr>
          <w:rFonts w:ascii="Arial" w:hAnsi="Arial"/>
          <w:szCs w:val="24"/>
        </w:rPr>
        <w:t>s 23 (1) (d</w:t>
      </w:r>
      <w:r w:rsidR="000A506A">
        <w:rPr>
          <w:rFonts w:ascii="Arial" w:hAnsi="Arial"/>
          <w:szCs w:val="24"/>
        </w:rPr>
        <w:t>)</w:t>
      </w:r>
      <w:r w:rsidR="00D47BB1">
        <w:rPr>
          <w:rFonts w:ascii="Arial" w:hAnsi="Arial"/>
          <w:szCs w:val="24"/>
        </w:rPr>
        <w:t>, read with s 65 (1) (a) and the definition of ‘workplace’ in s 213,</w:t>
      </w:r>
      <w:r w:rsidR="000A506A">
        <w:rPr>
          <w:rFonts w:ascii="Arial" w:hAnsi="Arial"/>
          <w:szCs w:val="24"/>
        </w:rPr>
        <w:t xml:space="preserve"> </w:t>
      </w:r>
      <w:r w:rsidR="00792474">
        <w:rPr>
          <w:rFonts w:ascii="Arial" w:hAnsi="Arial"/>
          <w:szCs w:val="24"/>
        </w:rPr>
        <w:t>constitutes a lim</w:t>
      </w:r>
      <w:r w:rsidR="00D47BB1">
        <w:rPr>
          <w:rFonts w:ascii="Arial" w:hAnsi="Arial"/>
          <w:szCs w:val="24"/>
        </w:rPr>
        <w:t xml:space="preserve">itation on the right to strike; they contend that s 23 (1) (d) constitutes a justifiable limitation on those rights. </w:t>
      </w:r>
      <w:r w:rsidR="00792474">
        <w:rPr>
          <w:rFonts w:ascii="Arial" w:hAnsi="Arial"/>
          <w:szCs w:val="24"/>
        </w:rPr>
        <w:t>The enqui</w:t>
      </w:r>
      <w:r w:rsidR="00D47BB1">
        <w:rPr>
          <w:rFonts w:ascii="Arial" w:hAnsi="Arial"/>
          <w:szCs w:val="24"/>
        </w:rPr>
        <w:t>ry into the justification cuts</w:t>
      </w:r>
      <w:r w:rsidR="00792474">
        <w:rPr>
          <w:rFonts w:ascii="Arial" w:hAnsi="Arial"/>
          <w:szCs w:val="24"/>
        </w:rPr>
        <w:t xml:space="preserve"> across both applications. I intend</w:t>
      </w:r>
      <w:r w:rsidR="0023150C">
        <w:rPr>
          <w:rFonts w:ascii="Arial" w:hAnsi="Arial"/>
          <w:szCs w:val="24"/>
        </w:rPr>
        <w:t xml:space="preserve"> therefore</w:t>
      </w:r>
      <w:r w:rsidR="00792474">
        <w:rPr>
          <w:rFonts w:ascii="Arial" w:hAnsi="Arial"/>
          <w:szCs w:val="24"/>
        </w:rPr>
        <w:t xml:space="preserve"> </w:t>
      </w:r>
      <w:r w:rsidR="00D47BB1">
        <w:rPr>
          <w:rFonts w:ascii="Arial" w:hAnsi="Arial"/>
          <w:szCs w:val="24"/>
        </w:rPr>
        <w:t xml:space="preserve">to revisit the </w:t>
      </w:r>
      <w:r w:rsidR="00792474">
        <w:rPr>
          <w:rFonts w:ascii="Arial" w:hAnsi="Arial"/>
          <w:szCs w:val="24"/>
        </w:rPr>
        <w:t>interpretational issue raised in the</w:t>
      </w:r>
      <w:r w:rsidR="0023150C">
        <w:rPr>
          <w:rFonts w:ascii="Arial" w:hAnsi="Arial"/>
          <w:szCs w:val="24"/>
        </w:rPr>
        <w:t xml:space="preserve"> main application at the conclusion of the justification enquiry</w:t>
      </w:r>
      <w:r w:rsidR="00792474">
        <w:rPr>
          <w:rFonts w:ascii="Arial" w:hAnsi="Arial"/>
          <w:szCs w:val="24"/>
        </w:rPr>
        <w:t xml:space="preserve">. </w:t>
      </w:r>
    </w:p>
    <w:p w:rsidR="00055564" w:rsidRDefault="0050664D" w:rsidP="00A826E5">
      <w:pPr>
        <w:pStyle w:val="ClaireNew"/>
        <w:numPr>
          <w:ilvl w:val="0"/>
          <w:numId w:val="0"/>
        </w:numPr>
        <w:spacing w:before="240" w:after="120"/>
        <w:ind w:left="720" w:hanging="720"/>
        <w:rPr>
          <w:rFonts w:ascii="Arial" w:hAnsi="Arial"/>
          <w:szCs w:val="24"/>
          <w:u w:val="single"/>
        </w:rPr>
      </w:pPr>
      <w:r w:rsidRPr="00D34317">
        <w:rPr>
          <w:rFonts w:ascii="Arial" w:hAnsi="Arial"/>
          <w:szCs w:val="24"/>
          <w:u w:val="single"/>
        </w:rPr>
        <w:t>The c</w:t>
      </w:r>
      <w:r w:rsidR="00055564" w:rsidRPr="00D34317">
        <w:rPr>
          <w:rFonts w:ascii="Arial" w:hAnsi="Arial"/>
          <w:szCs w:val="24"/>
          <w:u w:val="single"/>
        </w:rPr>
        <w:t>onstitutional challenge to s 23 (1) (d)</w:t>
      </w:r>
    </w:p>
    <w:p w:rsidR="0023150C" w:rsidRPr="0023150C" w:rsidRDefault="0023150C" w:rsidP="00A826E5">
      <w:pPr>
        <w:pStyle w:val="ClaireNew"/>
        <w:numPr>
          <w:ilvl w:val="0"/>
          <w:numId w:val="0"/>
        </w:numPr>
        <w:spacing w:before="240" w:after="120"/>
        <w:ind w:left="720" w:hanging="720"/>
        <w:rPr>
          <w:rFonts w:ascii="Arial" w:hAnsi="Arial"/>
          <w:i/>
          <w:szCs w:val="24"/>
          <w:u w:val="single"/>
        </w:rPr>
      </w:pPr>
      <w:r>
        <w:rPr>
          <w:rFonts w:ascii="Arial" w:hAnsi="Arial"/>
          <w:i/>
          <w:szCs w:val="24"/>
          <w:u w:val="single"/>
        </w:rPr>
        <w:t>The nature and extent of the challenge</w:t>
      </w:r>
    </w:p>
    <w:p w:rsidR="00722477" w:rsidRDefault="000A506A" w:rsidP="00722477">
      <w:pPr>
        <w:pStyle w:val="ClaireNew"/>
        <w:numPr>
          <w:ilvl w:val="0"/>
          <w:numId w:val="0"/>
        </w:numPr>
        <w:spacing w:before="240" w:after="120"/>
        <w:ind w:left="720" w:hanging="720"/>
        <w:rPr>
          <w:rFonts w:ascii="Arial" w:hAnsi="Arial"/>
          <w:szCs w:val="24"/>
        </w:rPr>
      </w:pPr>
      <w:r>
        <w:rPr>
          <w:rFonts w:ascii="Arial" w:hAnsi="Arial"/>
          <w:szCs w:val="24"/>
        </w:rPr>
        <w:t xml:space="preserve"> </w:t>
      </w:r>
      <w:r w:rsidR="00A54FBE">
        <w:rPr>
          <w:rFonts w:ascii="Arial" w:hAnsi="Arial"/>
          <w:szCs w:val="24"/>
        </w:rPr>
        <w:t>[38</w:t>
      </w:r>
      <w:r w:rsidR="0032541C">
        <w:rPr>
          <w:rFonts w:ascii="Arial" w:hAnsi="Arial"/>
          <w:szCs w:val="24"/>
        </w:rPr>
        <w:t>]</w:t>
      </w:r>
      <w:r w:rsidR="0032541C">
        <w:rPr>
          <w:rFonts w:ascii="Arial" w:hAnsi="Arial"/>
          <w:szCs w:val="24"/>
        </w:rPr>
        <w:tab/>
      </w:r>
      <w:r w:rsidR="00312643">
        <w:rPr>
          <w:rFonts w:ascii="Arial" w:hAnsi="Arial"/>
          <w:szCs w:val="24"/>
        </w:rPr>
        <w:t xml:space="preserve">Section 23 </w:t>
      </w:r>
      <w:r w:rsidR="00722477">
        <w:rPr>
          <w:rFonts w:ascii="Arial" w:hAnsi="Arial"/>
          <w:szCs w:val="24"/>
        </w:rPr>
        <w:t>of the Constitution</w:t>
      </w:r>
      <w:r w:rsidR="00312643">
        <w:rPr>
          <w:rFonts w:ascii="Arial" w:hAnsi="Arial"/>
          <w:szCs w:val="24"/>
        </w:rPr>
        <w:t>, headed “Labour relations” and which is part of the Bill of Rights,</w:t>
      </w:r>
      <w:r w:rsidR="00722477">
        <w:rPr>
          <w:rFonts w:ascii="Arial" w:hAnsi="Arial"/>
          <w:szCs w:val="24"/>
        </w:rPr>
        <w:t xml:space="preserve"> reads</w:t>
      </w:r>
      <w:r w:rsidR="00312643">
        <w:rPr>
          <w:rFonts w:ascii="Arial" w:hAnsi="Arial"/>
          <w:szCs w:val="24"/>
        </w:rPr>
        <w:t xml:space="preserve"> as follows</w:t>
      </w:r>
      <w:r w:rsidR="00722477">
        <w:rPr>
          <w:rFonts w:ascii="Arial" w:hAnsi="Arial"/>
          <w:szCs w:val="24"/>
        </w:rPr>
        <w:t>:</w:t>
      </w:r>
    </w:p>
    <w:p w:rsidR="00312643" w:rsidRDefault="00312643" w:rsidP="00312643">
      <w:pPr>
        <w:pStyle w:val="ClaireNew"/>
        <w:numPr>
          <w:ilvl w:val="0"/>
          <w:numId w:val="0"/>
        </w:numPr>
        <w:spacing w:before="240" w:after="120" w:line="240" w:lineRule="auto"/>
        <w:ind w:left="720" w:firstLine="720"/>
        <w:rPr>
          <w:rFonts w:ascii="Arial" w:hAnsi="Arial"/>
          <w:sz w:val="22"/>
          <w:szCs w:val="22"/>
        </w:rPr>
      </w:pPr>
      <w:r>
        <w:rPr>
          <w:rFonts w:ascii="Arial" w:hAnsi="Arial"/>
          <w:sz w:val="22"/>
          <w:szCs w:val="22"/>
        </w:rPr>
        <w:t>‘(1)</w:t>
      </w:r>
      <w:r>
        <w:rPr>
          <w:rFonts w:ascii="Arial" w:hAnsi="Arial"/>
          <w:sz w:val="22"/>
          <w:szCs w:val="22"/>
        </w:rPr>
        <w:tab/>
        <w:t xml:space="preserve">Everyone has the right to fair labour practices. </w:t>
      </w:r>
    </w:p>
    <w:p w:rsidR="00722477" w:rsidRPr="0071489B" w:rsidRDefault="00312643" w:rsidP="00312643">
      <w:pPr>
        <w:pStyle w:val="ClaireNew"/>
        <w:numPr>
          <w:ilvl w:val="0"/>
          <w:numId w:val="0"/>
        </w:numPr>
        <w:spacing w:before="240" w:after="120" w:line="240" w:lineRule="auto"/>
        <w:ind w:left="720" w:firstLine="720"/>
        <w:rPr>
          <w:rFonts w:ascii="Arial" w:hAnsi="Arial"/>
          <w:sz w:val="22"/>
          <w:szCs w:val="22"/>
        </w:rPr>
      </w:pPr>
      <w:r>
        <w:rPr>
          <w:rFonts w:ascii="Arial" w:hAnsi="Arial"/>
          <w:sz w:val="22"/>
          <w:szCs w:val="22"/>
        </w:rPr>
        <w:t>(2)</w:t>
      </w:r>
      <w:r>
        <w:rPr>
          <w:rFonts w:ascii="Arial" w:hAnsi="Arial"/>
          <w:sz w:val="22"/>
          <w:szCs w:val="22"/>
        </w:rPr>
        <w:tab/>
      </w:r>
      <w:r w:rsidR="00722477" w:rsidRPr="0071489B">
        <w:rPr>
          <w:rFonts w:ascii="Arial" w:hAnsi="Arial"/>
          <w:sz w:val="22"/>
          <w:szCs w:val="22"/>
        </w:rPr>
        <w:t>Every worker has the right</w:t>
      </w:r>
      <w:r>
        <w:rPr>
          <w:rFonts w:ascii="Arial" w:hAnsi="Arial"/>
          <w:sz w:val="22"/>
          <w:szCs w:val="22"/>
        </w:rPr>
        <w:t xml:space="preserve"> -</w:t>
      </w:r>
    </w:p>
    <w:p w:rsidR="00722477" w:rsidRPr="0071489B" w:rsidRDefault="00722477" w:rsidP="00312643">
      <w:pPr>
        <w:pStyle w:val="ClaireNew"/>
        <w:numPr>
          <w:ilvl w:val="0"/>
          <w:numId w:val="2"/>
        </w:numPr>
        <w:spacing w:before="240" w:after="120" w:line="240" w:lineRule="auto"/>
        <w:rPr>
          <w:rFonts w:ascii="Arial" w:hAnsi="Arial"/>
          <w:sz w:val="22"/>
          <w:szCs w:val="22"/>
        </w:rPr>
      </w:pPr>
      <w:r w:rsidRPr="0071489B">
        <w:rPr>
          <w:rFonts w:ascii="Arial" w:hAnsi="Arial"/>
          <w:sz w:val="22"/>
          <w:szCs w:val="22"/>
        </w:rPr>
        <w:t>to form and join a trade union;</w:t>
      </w:r>
    </w:p>
    <w:p w:rsidR="00722477" w:rsidRPr="0071489B" w:rsidRDefault="00722477" w:rsidP="00312643">
      <w:pPr>
        <w:pStyle w:val="ClaireNew"/>
        <w:numPr>
          <w:ilvl w:val="0"/>
          <w:numId w:val="2"/>
        </w:numPr>
        <w:spacing w:before="240" w:after="120" w:line="240" w:lineRule="auto"/>
        <w:rPr>
          <w:rFonts w:ascii="Arial" w:hAnsi="Arial"/>
          <w:sz w:val="22"/>
          <w:szCs w:val="22"/>
        </w:rPr>
      </w:pPr>
      <w:r w:rsidRPr="0071489B">
        <w:rPr>
          <w:rFonts w:ascii="Arial" w:hAnsi="Arial"/>
          <w:sz w:val="22"/>
          <w:szCs w:val="22"/>
        </w:rPr>
        <w:t>to participate in the activities and programmes of a trade union</w:t>
      </w:r>
      <w:r w:rsidR="00312643">
        <w:rPr>
          <w:rFonts w:ascii="Arial" w:hAnsi="Arial"/>
          <w:sz w:val="22"/>
          <w:szCs w:val="22"/>
        </w:rPr>
        <w:t>;</w:t>
      </w:r>
      <w:r w:rsidRPr="0071489B">
        <w:rPr>
          <w:rFonts w:ascii="Arial" w:hAnsi="Arial"/>
          <w:sz w:val="22"/>
          <w:szCs w:val="22"/>
        </w:rPr>
        <w:t xml:space="preserve"> and</w:t>
      </w:r>
    </w:p>
    <w:p w:rsidR="00722477" w:rsidRDefault="00722477" w:rsidP="00312643">
      <w:pPr>
        <w:pStyle w:val="ClaireNew"/>
        <w:numPr>
          <w:ilvl w:val="0"/>
          <w:numId w:val="2"/>
        </w:numPr>
        <w:spacing w:before="240" w:after="120" w:line="240" w:lineRule="auto"/>
        <w:rPr>
          <w:rFonts w:ascii="Arial" w:hAnsi="Arial"/>
          <w:sz w:val="22"/>
          <w:szCs w:val="22"/>
        </w:rPr>
      </w:pPr>
      <w:r w:rsidRPr="0071489B">
        <w:rPr>
          <w:rFonts w:ascii="Arial" w:hAnsi="Arial"/>
          <w:sz w:val="22"/>
          <w:szCs w:val="22"/>
        </w:rPr>
        <w:t>to strike’.</w:t>
      </w:r>
    </w:p>
    <w:p w:rsidR="00312643" w:rsidRDefault="00312643" w:rsidP="00312643">
      <w:pPr>
        <w:pStyle w:val="ClaireNew"/>
        <w:numPr>
          <w:ilvl w:val="0"/>
          <w:numId w:val="0"/>
        </w:numPr>
        <w:spacing w:before="240" w:after="120" w:line="240" w:lineRule="auto"/>
        <w:ind w:left="1440"/>
        <w:rPr>
          <w:rFonts w:ascii="Arial" w:hAnsi="Arial"/>
          <w:sz w:val="22"/>
          <w:szCs w:val="22"/>
        </w:rPr>
      </w:pPr>
      <w:r>
        <w:rPr>
          <w:rFonts w:ascii="Arial" w:hAnsi="Arial"/>
          <w:sz w:val="22"/>
          <w:szCs w:val="22"/>
        </w:rPr>
        <w:t>(3)</w:t>
      </w:r>
      <w:r>
        <w:rPr>
          <w:rFonts w:ascii="Arial" w:hAnsi="Arial"/>
          <w:sz w:val="22"/>
          <w:szCs w:val="22"/>
        </w:rPr>
        <w:tab/>
        <w:t>Every employer has the right -</w:t>
      </w:r>
    </w:p>
    <w:p w:rsidR="00312643" w:rsidRDefault="00312643" w:rsidP="00312643">
      <w:pPr>
        <w:pStyle w:val="ClaireNew"/>
        <w:numPr>
          <w:ilvl w:val="0"/>
          <w:numId w:val="0"/>
        </w:numPr>
        <w:spacing w:before="240" w:after="120" w:line="240" w:lineRule="auto"/>
        <w:ind w:left="1440"/>
        <w:rPr>
          <w:rFonts w:ascii="Arial" w:hAnsi="Arial"/>
          <w:sz w:val="22"/>
          <w:szCs w:val="22"/>
        </w:rPr>
      </w:pPr>
      <w:r>
        <w:rPr>
          <w:rFonts w:ascii="Arial" w:hAnsi="Arial"/>
          <w:sz w:val="22"/>
          <w:szCs w:val="22"/>
        </w:rPr>
        <w:tab/>
        <w:t>(a)</w:t>
      </w:r>
      <w:r>
        <w:rPr>
          <w:rFonts w:ascii="Arial" w:hAnsi="Arial"/>
          <w:sz w:val="22"/>
          <w:szCs w:val="22"/>
        </w:rPr>
        <w:tab/>
        <w:t>to form and join and employers’ organisation; and</w:t>
      </w:r>
    </w:p>
    <w:p w:rsidR="00312643" w:rsidRDefault="00312643" w:rsidP="00312643">
      <w:pPr>
        <w:pStyle w:val="ClaireNew"/>
        <w:numPr>
          <w:ilvl w:val="0"/>
          <w:numId w:val="0"/>
        </w:numPr>
        <w:spacing w:before="240" w:after="120" w:line="240" w:lineRule="auto"/>
        <w:ind w:left="2880" w:hanging="720"/>
        <w:rPr>
          <w:rFonts w:ascii="Arial" w:hAnsi="Arial"/>
          <w:sz w:val="22"/>
          <w:szCs w:val="22"/>
        </w:rPr>
      </w:pPr>
      <w:r>
        <w:rPr>
          <w:rFonts w:ascii="Arial" w:hAnsi="Arial"/>
          <w:sz w:val="22"/>
          <w:szCs w:val="22"/>
        </w:rPr>
        <w:lastRenderedPageBreak/>
        <w:t>(b)</w:t>
      </w:r>
      <w:r>
        <w:rPr>
          <w:rFonts w:ascii="Arial" w:hAnsi="Arial"/>
          <w:sz w:val="22"/>
          <w:szCs w:val="22"/>
        </w:rPr>
        <w:tab/>
        <w:t>to participate in the activities and programmes of an employers’ organisation.</w:t>
      </w:r>
    </w:p>
    <w:p w:rsidR="00312643" w:rsidRDefault="00790F45" w:rsidP="00312643">
      <w:pPr>
        <w:pStyle w:val="ClaireNew"/>
        <w:numPr>
          <w:ilvl w:val="0"/>
          <w:numId w:val="0"/>
        </w:numPr>
        <w:spacing w:before="240" w:after="120" w:line="240" w:lineRule="auto"/>
        <w:ind w:left="1440"/>
        <w:rPr>
          <w:rFonts w:ascii="Arial" w:hAnsi="Arial"/>
          <w:sz w:val="22"/>
          <w:szCs w:val="22"/>
        </w:rPr>
      </w:pPr>
      <w:r>
        <w:rPr>
          <w:rFonts w:ascii="Arial" w:hAnsi="Arial"/>
          <w:sz w:val="22"/>
          <w:szCs w:val="22"/>
        </w:rPr>
        <w:t>(4)</w:t>
      </w:r>
      <w:r>
        <w:rPr>
          <w:rFonts w:ascii="Arial" w:hAnsi="Arial"/>
          <w:sz w:val="22"/>
          <w:szCs w:val="22"/>
        </w:rPr>
        <w:tab/>
        <w:t>Every trade union and every employers' organisation has the right –</w:t>
      </w:r>
    </w:p>
    <w:p w:rsidR="00312643" w:rsidRDefault="00312643" w:rsidP="00312643">
      <w:pPr>
        <w:pStyle w:val="ClaireNew"/>
        <w:numPr>
          <w:ilvl w:val="0"/>
          <w:numId w:val="0"/>
        </w:numPr>
        <w:spacing w:before="240" w:after="120" w:line="240" w:lineRule="auto"/>
        <w:ind w:left="1440" w:firstLine="720"/>
        <w:rPr>
          <w:rFonts w:ascii="Arial" w:hAnsi="Arial"/>
          <w:sz w:val="22"/>
          <w:szCs w:val="22"/>
        </w:rPr>
      </w:pPr>
      <w:r>
        <w:rPr>
          <w:rFonts w:ascii="Arial" w:hAnsi="Arial"/>
          <w:sz w:val="22"/>
          <w:szCs w:val="22"/>
        </w:rPr>
        <w:t>(a)</w:t>
      </w:r>
      <w:r>
        <w:rPr>
          <w:rFonts w:ascii="Arial" w:hAnsi="Arial"/>
          <w:sz w:val="22"/>
          <w:szCs w:val="22"/>
        </w:rPr>
        <w:tab/>
        <w:t>to determine its own administration, programmes and activities;</w:t>
      </w:r>
    </w:p>
    <w:p w:rsidR="00312643" w:rsidRDefault="00312643" w:rsidP="00312643">
      <w:pPr>
        <w:pStyle w:val="ClaireNew"/>
        <w:numPr>
          <w:ilvl w:val="0"/>
          <w:numId w:val="0"/>
        </w:numPr>
        <w:spacing w:before="240" w:after="120" w:line="240" w:lineRule="auto"/>
        <w:ind w:left="1440"/>
        <w:rPr>
          <w:rFonts w:ascii="Arial" w:hAnsi="Arial"/>
          <w:sz w:val="22"/>
          <w:szCs w:val="22"/>
        </w:rPr>
      </w:pPr>
      <w:r>
        <w:rPr>
          <w:rFonts w:ascii="Arial" w:hAnsi="Arial"/>
          <w:sz w:val="22"/>
          <w:szCs w:val="22"/>
        </w:rPr>
        <w:tab/>
        <w:t>(b)</w:t>
      </w:r>
      <w:r>
        <w:rPr>
          <w:rFonts w:ascii="Arial" w:hAnsi="Arial"/>
          <w:sz w:val="22"/>
          <w:szCs w:val="22"/>
        </w:rPr>
        <w:tab/>
        <w:t>to organise; and</w:t>
      </w:r>
    </w:p>
    <w:p w:rsidR="00312643" w:rsidRPr="0071489B" w:rsidRDefault="00312643" w:rsidP="00312643">
      <w:pPr>
        <w:pStyle w:val="ClaireNew"/>
        <w:numPr>
          <w:ilvl w:val="0"/>
          <w:numId w:val="0"/>
        </w:numPr>
        <w:spacing w:before="240" w:after="120" w:line="240" w:lineRule="auto"/>
        <w:ind w:left="1440"/>
        <w:rPr>
          <w:rFonts w:ascii="Arial" w:hAnsi="Arial"/>
          <w:sz w:val="22"/>
          <w:szCs w:val="22"/>
        </w:rPr>
      </w:pPr>
      <w:r>
        <w:rPr>
          <w:rFonts w:ascii="Arial" w:hAnsi="Arial"/>
          <w:sz w:val="22"/>
          <w:szCs w:val="22"/>
        </w:rPr>
        <w:tab/>
        <w:t>(c)</w:t>
      </w:r>
      <w:r>
        <w:rPr>
          <w:rFonts w:ascii="Arial" w:hAnsi="Arial"/>
          <w:sz w:val="22"/>
          <w:szCs w:val="22"/>
        </w:rPr>
        <w:tab/>
        <w:t>to form and join a federation.</w:t>
      </w:r>
    </w:p>
    <w:p w:rsidR="00722477" w:rsidRDefault="00722477" w:rsidP="00312643">
      <w:pPr>
        <w:keepNext/>
        <w:spacing w:before="240" w:after="120" w:line="240" w:lineRule="auto"/>
        <w:ind w:left="2160" w:hanging="660"/>
        <w:jc w:val="both"/>
        <w:outlineLvl w:val="0"/>
        <w:rPr>
          <w:rFonts w:ascii="Arial" w:hAnsi="Arial"/>
        </w:rPr>
      </w:pPr>
      <w:r w:rsidRPr="00791FB4">
        <w:rPr>
          <w:rFonts w:ascii="Arial" w:hAnsi="Arial"/>
        </w:rPr>
        <w:t>(5)</w:t>
      </w:r>
      <w:r w:rsidRPr="00791FB4">
        <w:rPr>
          <w:rFonts w:ascii="Arial" w:hAnsi="Arial"/>
        </w:rPr>
        <w:tab/>
        <w:t xml:space="preserve">Every trade union, employers’ organisation and employer has the right to engage in collective bargaining. National legislation may be enacted to regulate collective bargaining. To the extent that the legislation may limit a right in this Chapter, the limitation </w:t>
      </w:r>
      <w:r>
        <w:rPr>
          <w:rFonts w:ascii="Arial" w:hAnsi="Arial"/>
        </w:rPr>
        <w:t>must comply with section 36 (1).</w:t>
      </w:r>
    </w:p>
    <w:p w:rsidR="00312643" w:rsidRDefault="00312643" w:rsidP="00312643">
      <w:pPr>
        <w:keepNext/>
        <w:spacing w:before="240" w:after="120" w:line="240" w:lineRule="auto"/>
        <w:ind w:left="2160" w:hanging="720"/>
        <w:jc w:val="both"/>
        <w:outlineLvl w:val="0"/>
        <w:rPr>
          <w:rFonts w:ascii="Arial" w:hAnsi="Arial"/>
          <w:szCs w:val="24"/>
        </w:rPr>
      </w:pPr>
      <w:r>
        <w:rPr>
          <w:rFonts w:ascii="Arial" w:hAnsi="Arial"/>
        </w:rPr>
        <w:t>(6)</w:t>
      </w:r>
      <w:r>
        <w:rPr>
          <w:rFonts w:ascii="Arial" w:hAnsi="Arial"/>
        </w:rPr>
        <w:tab/>
        <w:t>National legislation may recognise union security arrangements contained in collective agreements. To the extent that the legislation may limit a right in this chapter the limitation must comply with section 36 (1).</w:t>
      </w:r>
    </w:p>
    <w:p w:rsidR="00055564" w:rsidRPr="00055564" w:rsidRDefault="00A54FBE" w:rsidP="00A826E5">
      <w:pPr>
        <w:pStyle w:val="ClaireNew"/>
        <w:numPr>
          <w:ilvl w:val="0"/>
          <w:numId w:val="0"/>
        </w:numPr>
        <w:spacing w:before="240" w:after="120"/>
        <w:ind w:left="720" w:hanging="720"/>
        <w:rPr>
          <w:rFonts w:ascii="Arial" w:hAnsi="Arial"/>
          <w:szCs w:val="24"/>
        </w:rPr>
      </w:pPr>
      <w:r>
        <w:rPr>
          <w:rFonts w:ascii="Arial" w:hAnsi="Arial"/>
          <w:szCs w:val="24"/>
        </w:rPr>
        <w:t>[39</w:t>
      </w:r>
      <w:r w:rsidR="00722477">
        <w:rPr>
          <w:rFonts w:ascii="Arial" w:hAnsi="Arial"/>
          <w:szCs w:val="24"/>
        </w:rPr>
        <w:t>]</w:t>
      </w:r>
      <w:r w:rsidR="00722477">
        <w:rPr>
          <w:rFonts w:ascii="Arial" w:hAnsi="Arial"/>
          <w:szCs w:val="24"/>
        </w:rPr>
        <w:tab/>
      </w:r>
      <w:r w:rsidR="002052AA">
        <w:rPr>
          <w:rFonts w:ascii="Arial" w:hAnsi="Arial"/>
          <w:szCs w:val="24"/>
        </w:rPr>
        <w:t>In its counter-application, AMCU seeks a declaratory order to the effect that the interpretation placed by Cele J on the provisions of section 23 (1) (d) read with s 65 1 a and the definition of 'workplace’ in s 213 of the LRA, conflicts with the constitution because the interpretation violates the rule of law and the applicants fundamental rights terms of section 10 (human dignity) 18 (freedom of Association) 22 (freedom of trade oc</w:t>
      </w:r>
      <w:r w:rsidR="00E5541D">
        <w:rPr>
          <w:rFonts w:ascii="Arial" w:hAnsi="Arial"/>
          <w:szCs w:val="24"/>
        </w:rPr>
        <w:t>cupation and proficient) 23 (1</w:t>
      </w:r>
      <w:r w:rsidR="002052AA">
        <w:rPr>
          <w:rFonts w:ascii="Arial" w:hAnsi="Arial"/>
          <w:szCs w:val="24"/>
        </w:rPr>
        <w:t>)</w:t>
      </w:r>
      <w:r w:rsidR="00E5541D">
        <w:rPr>
          <w:rFonts w:ascii="Arial" w:hAnsi="Arial"/>
          <w:szCs w:val="24"/>
        </w:rPr>
        <w:t>(</w:t>
      </w:r>
      <w:r w:rsidR="002052AA">
        <w:rPr>
          <w:rFonts w:ascii="Arial" w:hAnsi="Arial"/>
          <w:szCs w:val="24"/>
        </w:rPr>
        <w:t xml:space="preserve"> 2</w:t>
      </w:r>
      <w:r w:rsidR="00E5541D">
        <w:rPr>
          <w:rFonts w:ascii="Arial" w:hAnsi="Arial"/>
          <w:szCs w:val="24"/>
        </w:rPr>
        <w:t>)</w:t>
      </w:r>
      <w:r w:rsidR="002052AA">
        <w:rPr>
          <w:rFonts w:ascii="Arial" w:hAnsi="Arial"/>
          <w:szCs w:val="24"/>
        </w:rPr>
        <w:t xml:space="preserve"> </w:t>
      </w:r>
      <w:r w:rsidR="00E5541D">
        <w:rPr>
          <w:rFonts w:ascii="Arial" w:hAnsi="Arial"/>
          <w:szCs w:val="24"/>
        </w:rPr>
        <w:t>(</w:t>
      </w:r>
      <w:r w:rsidR="002052AA">
        <w:rPr>
          <w:rFonts w:ascii="Arial" w:hAnsi="Arial"/>
          <w:szCs w:val="24"/>
        </w:rPr>
        <w:t>a</w:t>
      </w:r>
      <w:r w:rsidR="00E5541D">
        <w:rPr>
          <w:rFonts w:ascii="Arial" w:hAnsi="Arial"/>
          <w:szCs w:val="24"/>
        </w:rPr>
        <w:t>)</w:t>
      </w:r>
      <w:r w:rsidR="002052AA">
        <w:rPr>
          <w:rFonts w:ascii="Arial" w:hAnsi="Arial"/>
          <w:szCs w:val="24"/>
        </w:rPr>
        <w:t>,</w:t>
      </w:r>
      <w:r w:rsidR="00E5541D">
        <w:rPr>
          <w:rFonts w:ascii="Arial" w:hAnsi="Arial"/>
          <w:szCs w:val="24"/>
        </w:rPr>
        <w:t>(</w:t>
      </w:r>
      <w:r w:rsidR="002052AA">
        <w:rPr>
          <w:rFonts w:ascii="Arial" w:hAnsi="Arial"/>
          <w:szCs w:val="24"/>
        </w:rPr>
        <w:t xml:space="preserve"> b</w:t>
      </w:r>
      <w:r w:rsidR="00E5541D">
        <w:rPr>
          <w:rFonts w:ascii="Arial" w:hAnsi="Arial"/>
          <w:szCs w:val="24"/>
        </w:rPr>
        <w:t>)</w:t>
      </w:r>
      <w:r w:rsidR="002052AA">
        <w:rPr>
          <w:rFonts w:ascii="Arial" w:hAnsi="Arial"/>
          <w:szCs w:val="24"/>
        </w:rPr>
        <w:t xml:space="preserve">, </w:t>
      </w:r>
      <w:r w:rsidR="00E5541D">
        <w:rPr>
          <w:rFonts w:ascii="Arial" w:hAnsi="Arial"/>
          <w:szCs w:val="24"/>
        </w:rPr>
        <w:t>(</w:t>
      </w:r>
      <w:r w:rsidR="002052AA">
        <w:rPr>
          <w:rFonts w:ascii="Arial" w:hAnsi="Arial"/>
          <w:szCs w:val="24"/>
        </w:rPr>
        <w:t>c</w:t>
      </w:r>
      <w:r w:rsidR="00E5541D">
        <w:rPr>
          <w:rFonts w:ascii="Arial" w:hAnsi="Arial"/>
          <w:szCs w:val="24"/>
        </w:rPr>
        <w:t>)</w:t>
      </w:r>
      <w:r w:rsidR="002052AA">
        <w:rPr>
          <w:rFonts w:ascii="Arial" w:hAnsi="Arial"/>
          <w:szCs w:val="24"/>
        </w:rPr>
        <w:t xml:space="preserve"> </w:t>
      </w:r>
      <w:r w:rsidR="00E5541D">
        <w:rPr>
          <w:rFonts w:ascii="Arial" w:hAnsi="Arial"/>
          <w:szCs w:val="24"/>
        </w:rPr>
        <w:t>(</w:t>
      </w:r>
      <w:r w:rsidR="002052AA">
        <w:rPr>
          <w:rFonts w:ascii="Arial" w:hAnsi="Arial"/>
          <w:szCs w:val="24"/>
        </w:rPr>
        <w:t>4</w:t>
      </w:r>
      <w:r w:rsidR="00E5541D">
        <w:rPr>
          <w:rFonts w:ascii="Arial" w:hAnsi="Arial"/>
          <w:szCs w:val="24"/>
        </w:rPr>
        <w:t>)</w:t>
      </w:r>
      <w:r w:rsidR="002052AA">
        <w:rPr>
          <w:rFonts w:ascii="Arial" w:hAnsi="Arial"/>
          <w:szCs w:val="24"/>
        </w:rPr>
        <w:t xml:space="preserve"> </w:t>
      </w:r>
      <w:r w:rsidR="00E5541D">
        <w:rPr>
          <w:rFonts w:ascii="Arial" w:hAnsi="Arial"/>
          <w:szCs w:val="24"/>
        </w:rPr>
        <w:t>(</w:t>
      </w:r>
      <w:r w:rsidR="002052AA">
        <w:rPr>
          <w:rFonts w:ascii="Arial" w:hAnsi="Arial"/>
          <w:szCs w:val="24"/>
        </w:rPr>
        <w:t>a</w:t>
      </w:r>
      <w:r w:rsidR="00E5541D">
        <w:rPr>
          <w:rFonts w:ascii="Arial" w:hAnsi="Arial"/>
          <w:szCs w:val="24"/>
        </w:rPr>
        <w:t>)</w:t>
      </w:r>
      <w:r w:rsidR="002052AA">
        <w:rPr>
          <w:rFonts w:ascii="Arial" w:hAnsi="Arial"/>
          <w:szCs w:val="24"/>
        </w:rPr>
        <w:t xml:space="preserve"> and </w:t>
      </w:r>
      <w:r w:rsidR="00E5541D">
        <w:rPr>
          <w:rFonts w:ascii="Arial" w:hAnsi="Arial"/>
          <w:szCs w:val="24"/>
        </w:rPr>
        <w:t>(</w:t>
      </w:r>
      <w:r w:rsidR="002052AA">
        <w:rPr>
          <w:rFonts w:ascii="Arial" w:hAnsi="Arial"/>
          <w:szCs w:val="24"/>
        </w:rPr>
        <w:t>b</w:t>
      </w:r>
      <w:r w:rsidR="00E5541D">
        <w:rPr>
          <w:rFonts w:ascii="Arial" w:hAnsi="Arial"/>
          <w:szCs w:val="24"/>
        </w:rPr>
        <w:t>)</w:t>
      </w:r>
      <w:r w:rsidR="002052AA">
        <w:rPr>
          <w:rFonts w:ascii="Arial" w:hAnsi="Arial"/>
          <w:szCs w:val="24"/>
        </w:rPr>
        <w:t xml:space="preserve"> and </w:t>
      </w:r>
      <w:r w:rsidR="00E5541D">
        <w:rPr>
          <w:rFonts w:ascii="Arial" w:hAnsi="Arial"/>
          <w:szCs w:val="24"/>
        </w:rPr>
        <w:t>(</w:t>
      </w:r>
      <w:r w:rsidR="002052AA">
        <w:rPr>
          <w:rFonts w:ascii="Arial" w:hAnsi="Arial"/>
          <w:szCs w:val="24"/>
        </w:rPr>
        <w:t>5</w:t>
      </w:r>
      <w:r w:rsidR="00E5541D">
        <w:rPr>
          <w:rFonts w:ascii="Arial" w:hAnsi="Arial"/>
          <w:szCs w:val="24"/>
        </w:rPr>
        <w:t>)</w:t>
      </w:r>
      <w:r w:rsidR="004B74F7">
        <w:rPr>
          <w:rFonts w:ascii="Arial" w:hAnsi="Arial"/>
          <w:szCs w:val="24"/>
        </w:rPr>
        <w:t xml:space="preserve"> (l</w:t>
      </w:r>
      <w:r w:rsidR="002052AA">
        <w:rPr>
          <w:rFonts w:ascii="Arial" w:hAnsi="Arial"/>
          <w:szCs w:val="24"/>
        </w:rPr>
        <w:t>abour relations) and s 34 (</w:t>
      </w:r>
      <w:r w:rsidR="004B74F7">
        <w:rPr>
          <w:rFonts w:ascii="Arial" w:hAnsi="Arial"/>
          <w:szCs w:val="24"/>
        </w:rPr>
        <w:t>administrative justice) of the C</w:t>
      </w:r>
      <w:r w:rsidR="002052AA">
        <w:rPr>
          <w:rFonts w:ascii="Arial" w:hAnsi="Arial"/>
          <w:szCs w:val="24"/>
        </w:rPr>
        <w:t xml:space="preserve">onstitution of the Republic of South Africa, 1996. </w:t>
      </w:r>
      <w:r w:rsidR="00E5541D">
        <w:rPr>
          <w:rFonts w:ascii="Arial" w:hAnsi="Arial"/>
          <w:szCs w:val="24"/>
        </w:rPr>
        <w:t>In the a</w:t>
      </w:r>
      <w:r w:rsidR="004E4E88">
        <w:rPr>
          <w:rFonts w:ascii="Arial" w:hAnsi="Arial"/>
          <w:szCs w:val="24"/>
        </w:rPr>
        <w:t>lterna</w:t>
      </w:r>
      <w:r w:rsidR="00E5541D">
        <w:rPr>
          <w:rFonts w:ascii="Arial" w:hAnsi="Arial"/>
          <w:szCs w:val="24"/>
        </w:rPr>
        <w:t>tive</w:t>
      </w:r>
      <w:r w:rsidR="0055219A">
        <w:rPr>
          <w:rFonts w:ascii="Arial" w:hAnsi="Arial"/>
          <w:szCs w:val="24"/>
        </w:rPr>
        <w:t>, to the extent that the court</w:t>
      </w:r>
      <w:r w:rsidR="004E4E88">
        <w:rPr>
          <w:rFonts w:ascii="Arial" w:hAnsi="Arial"/>
          <w:szCs w:val="24"/>
        </w:rPr>
        <w:t xml:space="preserve"> finds that interpretation placed on the provisions of section 23 </w:t>
      </w:r>
      <w:r w:rsidR="007C4E4B">
        <w:rPr>
          <w:rFonts w:ascii="Arial" w:hAnsi="Arial"/>
          <w:szCs w:val="24"/>
        </w:rPr>
        <w:t>(</w:t>
      </w:r>
      <w:r w:rsidR="004E4E88">
        <w:rPr>
          <w:rFonts w:ascii="Arial" w:hAnsi="Arial"/>
          <w:szCs w:val="24"/>
        </w:rPr>
        <w:t>1</w:t>
      </w:r>
      <w:r w:rsidR="007C4E4B">
        <w:rPr>
          <w:rFonts w:ascii="Arial" w:hAnsi="Arial"/>
          <w:szCs w:val="24"/>
        </w:rPr>
        <w:t>)</w:t>
      </w:r>
      <w:r w:rsidR="004E4E88">
        <w:rPr>
          <w:rFonts w:ascii="Arial" w:hAnsi="Arial"/>
          <w:szCs w:val="24"/>
        </w:rPr>
        <w:t xml:space="preserve"> </w:t>
      </w:r>
      <w:r w:rsidR="007C4E4B">
        <w:rPr>
          <w:rFonts w:ascii="Arial" w:hAnsi="Arial"/>
          <w:szCs w:val="24"/>
        </w:rPr>
        <w:t>(</w:t>
      </w:r>
      <w:r w:rsidR="004E4E88">
        <w:rPr>
          <w:rFonts w:ascii="Arial" w:hAnsi="Arial"/>
          <w:szCs w:val="24"/>
        </w:rPr>
        <w:t>d</w:t>
      </w:r>
      <w:r w:rsidR="007C4E4B">
        <w:rPr>
          <w:rFonts w:ascii="Arial" w:hAnsi="Arial"/>
          <w:szCs w:val="24"/>
        </w:rPr>
        <w:t>)</w:t>
      </w:r>
      <w:r w:rsidR="004E4E88">
        <w:rPr>
          <w:rFonts w:ascii="Arial" w:hAnsi="Arial"/>
          <w:szCs w:val="24"/>
        </w:rPr>
        <w:t xml:space="preserve"> read with s 65 </w:t>
      </w:r>
      <w:r w:rsidR="007C4E4B">
        <w:rPr>
          <w:rFonts w:ascii="Arial" w:hAnsi="Arial"/>
          <w:szCs w:val="24"/>
        </w:rPr>
        <w:t>(</w:t>
      </w:r>
      <w:r w:rsidR="004E4E88">
        <w:rPr>
          <w:rFonts w:ascii="Arial" w:hAnsi="Arial"/>
          <w:szCs w:val="24"/>
        </w:rPr>
        <w:t>1</w:t>
      </w:r>
      <w:r w:rsidR="007C4E4B">
        <w:rPr>
          <w:rFonts w:ascii="Arial" w:hAnsi="Arial"/>
          <w:szCs w:val="24"/>
        </w:rPr>
        <w:t>)</w:t>
      </w:r>
      <w:r w:rsidR="004E4E88">
        <w:rPr>
          <w:rFonts w:ascii="Arial" w:hAnsi="Arial"/>
          <w:szCs w:val="24"/>
        </w:rPr>
        <w:t xml:space="preserve"> </w:t>
      </w:r>
      <w:r w:rsidR="007C4E4B">
        <w:rPr>
          <w:rFonts w:ascii="Arial" w:hAnsi="Arial"/>
          <w:szCs w:val="24"/>
        </w:rPr>
        <w:t>(</w:t>
      </w:r>
      <w:r w:rsidR="004E4E88">
        <w:rPr>
          <w:rFonts w:ascii="Arial" w:hAnsi="Arial"/>
          <w:szCs w:val="24"/>
        </w:rPr>
        <w:t>a</w:t>
      </w:r>
      <w:r w:rsidR="007C4E4B">
        <w:rPr>
          <w:rFonts w:ascii="Arial" w:hAnsi="Arial"/>
          <w:szCs w:val="24"/>
        </w:rPr>
        <w:t>)</w:t>
      </w:r>
      <w:r w:rsidR="004E4E88">
        <w:rPr>
          <w:rFonts w:ascii="Arial" w:hAnsi="Arial"/>
          <w:szCs w:val="24"/>
        </w:rPr>
        <w:t xml:space="preserve"> and the definit</w:t>
      </w:r>
      <w:r w:rsidR="004B74F7">
        <w:rPr>
          <w:rFonts w:ascii="Arial" w:hAnsi="Arial"/>
          <w:szCs w:val="24"/>
        </w:rPr>
        <w:t>ion of ‘</w:t>
      </w:r>
      <w:r w:rsidR="0055219A">
        <w:rPr>
          <w:rFonts w:ascii="Arial" w:hAnsi="Arial"/>
          <w:szCs w:val="24"/>
        </w:rPr>
        <w:t>workplace’ in s 213 by C</w:t>
      </w:r>
      <w:r w:rsidR="004E4E88">
        <w:rPr>
          <w:rFonts w:ascii="Arial" w:hAnsi="Arial"/>
          <w:szCs w:val="24"/>
        </w:rPr>
        <w:t>ele J is correct (because the sections cannot reasonably be interpreted otherwise) AMCU seeks a declaratory that the provisions of s 23</w:t>
      </w:r>
      <w:r w:rsidR="007C4E4B">
        <w:rPr>
          <w:rFonts w:ascii="Arial" w:hAnsi="Arial"/>
          <w:szCs w:val="24"/>
        </w:rPr>
        <w:t xml:space="preserve"> (</w:t>
      </w:r>
      <w:r w:rsidR="004E4E88">
        <w:rPr>
          <w:rFonts w:ascii="Arial" w:hAnsi="Arial"/>
          <w:szCs w:val="24"/>
        </w:rPr>
        <w:t>1</w:t>
      </w:r>
      <w:r w:rsidR="007C4E4B">
        <w:rPr>
          <w:rFonts w:ascii="Arial" w:hAnsi="Arial"/>
          <w:szCs w:val="24"/>
        </w:rPr>
        <w:t>)</w:t>
      </w:r>
      <w:r w:rsidR="004E4E88">
        <w:rPr>
          <w:rFonts w:ascii="Arial" w:hAnsi="Arial"/>
          <w:szCs w:val="24"/>
        </w:rPr>
        <w:t xml:space="preserve"> </w:t>
      </w:r>
      <w:r w:rsidR="007C4E4B">
        <w:rPr>
          <w:rFonts w:ascii="Arial" w:hAnsi="Arial"/>
          <w:szCs w:val="24"/>
        </w:rPr>
        <w:t>(</w:t>
      </w:r>
      <w:r w:rsidR="004E4E88">
        <w:rPr>
          <w:rFonts w:ascii="Arial" w:hAnsi="Arial"/>
          <w:szCs w:val="24"/>
        </w:rPr>
        <w:t>d</w:t>
      </w:r>
      <w:r w:rsidR="007C4E4B">
        <w:rPr>
          <w:rFonts w:ascii="Arial" w:hAnsi="Arial"/>
          <w:szCs w:val="24"/>
        </w:rPr>
        <w:t>)</w:t>
      </w:r>
      <w:r w:rsidR="004E4E88">
        <w:rPr>
          <w:rFonts w:ascii="Arial" w:hAnsi="Arial"/>
          <w:szCs w:val="24"/>
        </w:rPr>
        <w:t xml:space="preserve"> read with s 65 and the definition of ‘workplace’ in s</w:t>
      </w:r>
      <w:r w:rsidR="007C4E4B">
        <w:rPr>
          <w:rFonts w:ascii="Arial" w:hAnsi="Arial"/>
          <w:szCs w:val="24"/>
        </w:rPr>
        <w:t xml:space="preserve"> </w:t>
      </w:r>
      <w:r w:rsidR="00AC1948">
        <w:rPr>
          <w:rFonts w:ascii="Arial" w:hAnsi="Arial"/>
          <w:szCs w:val="24"/>
        </w:rPr>
        <w:t>213 , conflict with the C</w:t>
      </w:r>
      <w:r w:rsidR="004E4E88">
        <w:rPr>
          <w:rFonts w:ascii="Arial" w:hAnsi="Arial"/>
          <w:szCs w:val="24"/>
        </w:rPr>
        <w:t>onstitution of the Republic of South Africa, in relation to the particular sections referred to above, to the extent that these provisions grant private emp</w:t>
      </w:r>
      <w:r w:rsidR="00AC1948">
        <w:rPr>
          <w:rFonts w:ascii="Arial" w:hAnsi="Arial"/>
          <w:szCs w:val="24"/>
        </w:rPr>
        <w:t>loyers and trade unions the power</w:t>
      </w:r>
      <w:r w:rsidR="004E4E88">
        <w:rPr>
          <w:rFonts w:ascii="Arial" w:hAnsi="Arial"/>
          <w:szCs w:val="24"/>
        </w:rPr>
        <w:t xml:space="preserve"> to secure by means of an extended collecti</w:t>
      </w:r>
      <w:r w:rsidR="00AC1948">
        <w:rPr>
          <w:rFonts w:ascii="Arial" w:hAnsi="Arial"/>
          <w:szCs w:val="24"/>
        </w:rPr>
        <w:t>ve agreement the imposition of b</w:t>
      </w:r>
      <w:r w:rsidR="004E4E88">
        <w:rPr>
          <w:rFonts w:ascii="Arial" w:hAnsi="Arial"/>
          <w:szCs w:val="24"/>
        </w:rPr>
        <w:t>inding obligations on employees and trade unions not</w:t>
      </w:r>
      <w:r w:rsidR="00AC1948">
        <w:rPr>
          <w:rFonts w:ascii="Arial" w:hAnsi="Arial"/>
          <w:szCs w:val="24"/>
        </w:rPr>
        <w:t xml:space="preserve"> party to the agreement, and to</w:t>
      </w:r>
      <w:r w:rsidR="004E4E88">
        <w:rPr>
          <w:rFonts w:ascii="Arial" w:hAnsi="Arial"/>
          <w:szCs w:val="24"/>
        </w:rPr>
        <w:t xml:space="preserve"> grant private employers and trade unions power by means of an extended collective agreement to prevent non</w:t>
      </w:r>
      <w:r w:rsidR="00AC1948">
        <w:rPr>
          <w:rFonts w:ascii="Arial" w:hAnsi="Arial"/>
          <w:szCs w:val="24"/>
        </w:rPr>
        <w:t>-party</w:t>
      </w:r>
      <w:r w:rsidR="004E4E88">
        <w:rPr>
          <w:rFonts w:ascii="Arial" w:hAnsi="Arial"/>
          <w:szCs w:val="24"/>
        </w:rPr>
        <w:t xml:space="preserve"> unions and their members from </w:t>
      </w:r>
      <w:r w:rsidR="004E4E88">
        <w:rPr>
          <w:rFonts w:ascii="Arial" w:hAnsi="Arial"/>
          <w:szCs w:val="24"/>
        </w:rPr>
        <w:lastRenderedPageBreak/>
        <w:t>exercising the fundamental rights concerned, including but not limited to the right to bargain collectively and to strike over matters of mutual interest. On this basis,</w:t>
      </w:r>
      <w:r w:rsidR="000459F0">
        <w:rPr>
          <w:rFonts w:ascii="Arial" w:hAnsi="Arial"/>
          <w:szCs w:val="24"/>
        </w:rPr>
        <w:t xml:space="preserve"> </w:t>
      </w:r>
      <w:r w:rsidR="004E4E88">
        <w:rPr>
          <w:rFonts w:ascii="Arial" w:hAnsi="Arial"/>
          <w:szCs w:val="24"/>
        </w:rPr>
        <w:t>A</w:t>
      </w:r>
      <w:r w:rsidR="000459F0">
        <w:rPr>
          <w:rFonts w:ascii="Arial" w:hAnsi="Arial"/>
          <w:szCs w:val="24"/>
        </w:rPr>
        <w:t>MCU</w:t>
      </w:r>
      <w:r w:rsidR="004E4E88">
        <w:rPr>
          <w:rFonts w:ascii="Arial" w:hAnsi="Arial"/>
          <w:szCs w:val="24"/>
        </w:rPr>
        <w:t xml:space="preserve"> seeks to have extension of the wage agreements declared unconstitutional and invalid and the strike called by A</w:t>
      </w:r>
      <w:r w:rsidR="00AC1948">
        <w:rPr>
          <w:rFonts w:ascii="Arial" w:hAnsi="Arial"/>
          <w:szCs w:val="24"/>
        </w:rPr>
        <w:t>MCU declared protected</w:t>
      </w:r>
      <w:r w:rsidR="004E4E88">
        <w:rPr>
          <w:rFonts w:ascii="Arial" w:hAnsi="Arial"/>
          <w:szCs w:val="24"/>
        </w:rPr>
        <w:t>.</w:t>
      </w:r>
      <w:r w:rsidR="0032541C">
        <w:rPr>
          <w:rFonts w:ascii="Arial" w:hAnsi="Arial"/>
          <w:szCs w:val="24"/>
        </w:rPr>
        <w:t xml:space="preserve"> </w:t>
      </w:r>
    </w:p>
    <w:p w:rsidR="0055219A" w:rsidRDefault="00A54FBE" w:rsidP="00A826E5">
      <w:pPr>
        <w:pStyle w:val="ClaireNew"/>
        <w:numPr>
          <w:ilvl w:val="0"/>
          <w:numId w:val="0"/>
        </w:numPr>
        <w:spacing w:before="240" w:after="120"/>
        <w:ind w:left="720" w:hanging="720"/>
        <w:rPr>
          <w:rFonts w:ascii="Arial" w:hAnsi="Arial"/>
          <w:szCs w:val="24"/>
        </w:rPr>
      </w:pPr>
      <w:r>
        <w:rPr>
          <w:rFonts w:ascii="Arial" w:hAnsi="Arial"/>
          <w:szCs w:val="24"/>
        </w:rPr>
        <w:t>[40</w:t>
      </w:r>
      <w:r w:rsidR="004E4E88">
        <w:rPr>
          <w:rFonts w:ascii="Arial" w:hAnsi="Arial"/>
          <w:szCs w:val="24"/>
        </w:rPr>
        <w:t>]</w:t>
      </w:r>
      <w:r w:rsidR="004E4E88">
        <w:rPr>
          <w:rFonts w:ascii="Arial" w:hAnsi="Arial"/>
          <w:szCs w:val="24"/>
        </w:rPr>
        <w:tab/>
      </w:r>
      <w:r w:rsidR="0055219A">
        <w:rPr>
          <w:rFonts w:ascii="Arial" w:hAnsi="Arial"/>
          <w:szCs w:val="24"/>
        </w:rPr>
        <w:t>At the hearing of the counter-applic</w:t>
      </w:r>
      <w:r w:rsidR="004C4152">
        <w:rPr>
          <w:rFonts w:ascii="Arial" w:hAnsi="Arial"/>
          <w:szCs w:val="24"/>
        </w:rPr>
        <w:t xml:space="preserve">ation, AMCU abandoned that </w:t>
      </w:r>
      <w:r w:rsidR="0055219A">
        <w:rPr>
          <w:rFonts w:ascii="Arial" w:hAnsi="Arial"/>
          <w:szCs w:val="24"/>
        </w:rPr>
        <w:t>part of the relief sought</w:t>
      </w:r>
      <w:r w:rsidR="004C4152">
        <w:rPr>
          <w:rFonts w:ascii="Arial" w:hAnsi="Arial"/>
          <w:szCs w:val="24"/>
        </w:rPr>
        <w:t xml:space="preserve"> relating to the interpretation placed on s 23 (1) (d) by Cele J</w:t>
      </w:r>
      <w:r w:rsidR="0055219A">
        <w:rPr>
          <w:rFonts w:ascii="Arial" w:hAnsi="Arial"/>
          <w:szCs w:val="24"/>
        </w:rPr>
        <w:t>, leaving only the direct constitutional attack on</w:t>
      </w:r>
      <w:r w:rsidR="004C4152">
        <w:rPr>
          <w:rFonts w:ascii="Arial" w:hAnsi="Arial"/>
          <w:szCs w:val="24"/>
        </w:rPr>
        <w:t xml:space="preserve"> s 2</w:t>
      </w:r>
      <w:r w:rsidR="007C4E4B">
        <w:rPr>
          <w:rFonts w:ascii="Arial" w:hAnsi="Arial"/>
          <w:szCs w:val="24"/>
        </w:rPr>
        <w:t>3</w:t>
      </w:r>
      <w:r w:rsidR="004C4152">
        <w:rPr>
          <w:rFonts w:ascii="Arial" w:hAnsi="Arial"/>
          <w:szCs w:val="24"/>
        </w:rPr>
        <w:t xml:space="preserve"> (1) (d) for determination.</w:t>
      </w:r>
      <w:r w:rsidR="00211BE9">
        <w:rPr>
          <w:rStyle w:val="FootnoteReference"/>
          <w:rFonts w:ascii="Arial" w:hAnsi="Arial"/>
          <w:szCs w:val="24"/>
        </w:rPr>
        <w:footnoteReference w:id="14"/>
      </w:r>
      <w:r w:rsidR="0055219A">
        <w:rPr>
          <w:rFonts w:ascii="Arial" w:hAnsi="Arial"/>
          <w:szCs w:val="24"/>
        </w:rPr>
        <w:t xml:space="preserve"> </w:t>
      </w:r>
      <w:r w:rsidR="007C4E4B">
        <w:rPr>
          <w:rFonts w:ascii="Arial" w:hAnsi="Arial"/>
          <w:szCs w:val="24"/>
        </w:rPr>
        <w:t xml:space="preserve">The counter-application strikes at central features of the system of collective bargaining established by the LRA. </w:t>
      </w:r>
      <w:r w:rsidR="00E5541D">
        <w:rPr>
          <w:rFonts w:ascii="Arial" w:hAnsi="Arial"/>
          <w:szCs w:val="24"/>
        </w:rPr>
        <w:t xml:space="preserve">The </w:t>
      </w:r>
      <w:r w:rsidR="00722477">
        <w:rPr>
          <w:rFonts w:ascii="Arial" w:hAnsi="Arial"/>
          <w:szCs w:val="24"/>
        </w:rPr>
        <w:t>fundamental</w:t>
      </w:r>
      <w:r w:rsidR="00E5541D">
        <w:rPr>
          <w:rFonts w:ascii="Arial" w:hAnsi="Arial"/>
          <w:szCs w:val="24"/>
        </w:rPr>
        <w:t xml:space="preserve"> rights on which AMCU relies are the rights to fair labour practices, the right to dignity and the right to freedom of trade, occupation and profession. </w:t>
      </w:r>
    </w:p>
    <w:p w:rsidR="00E5541D" w:rsidRDefault="00A54FBE" w:rsidP="00A826E5">
      <w:pPr>
        <w:pStyle w:val="ClaireNew"/>
        <w:numPr>
          <w:ilvl w:val="0"/>
          <w:numId w:val="0"/>
        </w:numPr>
        <w:spacing w:before="240" w:after="120"/>
        <w:ind w:left="720" w:hanging="720"/>
        <w:rPr>
          <w:rFonts w:ascii="Arial" w:hAnsi="Arial"/>
          <w:szCs w:val="24"/>
        </w:rPr>
      </w:pPr>
      <w:r>
        <w:rPr>
          <w:rFonts w:ascii="Arial" w:hAnsi="Arial"/>
          <w:szCs w:val="24"/>
        </w:rPr>
        <w:t>[41</w:t>
      </w:r>
      <w:r w:rsidR="00E5541D">
        <w:rPr>
          <w:rFonts w:ascii="Arial" w:hAnsi="Arial"/>
          <w:szCs w:val="24"/>
        </w:rPr>
        <w:t>]</w:t>
      </w:r>
      <w:r w:rsidR="00E5541D">
        <w:rPr>
          <w:rFonts w:ascii="Arial" w:hAnsi="Arial"/>
          <w:szCs w:val="24"/>
        </w:rPr>
        <w:tab/>
      </w:r>
      <w:r w:rsidR="00790F45">
        <w:rPr>
          <w:rFonts w:ascii="Arial" w:hAnsi="Arial"/>
          <w:szCs w:val="24"/>
        </w:rPr>
        <w:t>Mr.</w:t>
      </w:r>
      <w:r w:rsidR="00E5541D">
        <w:rPr>
          <w:rFonts w:ascii="Arial" w:hAnsi="Arial"/>
          <w:szCs w:val="24"/>
        </w:rPr>
        <w:t xml:space="preserve"> Boda, who pr</w:t>
      </w:r>
      <w:r w:rsidR="00312643">
        <w:rPr>
          <w:rFonts w:ascii="Arial" w:hAnsi="Arial"/>
          <w:szCs w:val="24"/>
        </w:rPr>
        <w:t>esented argument in the counter-</w:t>
      </w:r>
      <w:r w:rsidR="00E5541D">
        <w:rPr>
          <w:rFonts w:ascii="Arial" w:hAnsi="Arial"/>
          <w:szCs w:val="24"/>
        </w:rPr>
        <w:t xml:space="preserve">application, submitted </w:t>
      </w:r>
      <w:r w:rsidR="00AC1948">
        <w:rPr>
          <w:rFonts w:ascii="Arial" w:hAnsi="Arial"/>
          <w:szCs w:val="24"/>
        </w:rPr>
        <w:t xml:space="preserve">first </w:t>
      </w:r>
      <w:r w:rsidR="00E5541D">
        <w:rPr>
          <w:rFonts w:ascii="Arial" w:hAnsi="Arial"/>
          <w:szCs w:val="24"/>
        </w:rPr>
        <w:t xml:space="preserve">that the impugned sections offend the principle of legality. </w:t>
      </w:r>
      <w:r w:rsidR="00FB5D2D">
        <w:rPr>
          <w:rFonts w:ascii="Arial" w:hAnsi="Arial"/>
          <w:szCs w:val="24"/>
        </w:rPr>
        <w:t xml:space="preserve">In particular, he submitted that the provisions of s 23 (1) (d) permit private actors the right to impose terms and conditions of employment on unwilling parties without intervention from any independent authority that is bound to uphold the exercise of a discretion which is lawful, reasonable and procedurally fair. </w:t>
      </w:r>
      <w:r w:rsidR="004B5743">
        <w:rPr>
          <w:rFonts w:ascii="Arial" w:hAnsi="Arial"/>
          <w:szCs w:val="24"/>
        </w:rPr>
        <w:t>Secondly, he submitted that the legislation places no duty on the parties who extend an agreement in terms of s 23 (1) (d) to act in the public interest or in the interests of those parties sought to be bound. In this regard, the parties who seek extension of the collective agreement</w:t>
      </w:r>
      <w:r w:rsidR="00AC1948">
        <w:rPr>
          <w:rFonts w:ascii="Arial" w:hAnsi="Arial"/>
          <w:szCs w:val="24"/>
        </w:rPr>
        <w:t xml:space="preserve"> are not constrained</w:t>
      </w:r>
      <w:r w:rsidR="004B5743">
        <w:rPr>
          <w:rFonts w:ascii="Arial" w:hAnsi="Arial"/>
          <w:szCs w:val="24"/>
        </w:rPr>
        <w:t>, as are those who exercise public power, and may even act arbitrarily or capriciously. Thirdly, it is not possible to review the actions of private actors as it is to review a decision made by a public authority. Fourthly,</w:t>
      </w:r>
      <w:r w:rsidR="008F0A98">
        <w:rPr>
          <w:rFonts w:ascii="Arial" w:hAnsi="Arial"/>
          <w:szCs w:val="24"/>
        </w:rPr>
        <w:t xml:space="preserve"> he submitted that</w:t>
      </w:r>
      <w:r w:rsidR="004B5743">
        <w:rPr>
          <w:rFonts w:ascii="Arial" w:hAnsi="Arial"/>
          <w:szCs w:val="24"/>
        </w:rPr>
        <w:t xml:space="preserve"> the provisions of s 23 (1) (d), read with s 65 (1) (a), deny non-parties to the collective agreement, for the duration of the agreement, </w:t>
      </w:r>
      <w:r w:rsidR="004B5743">
        <w:rPr>
          <w:rFonts w:ascii="Arial" w:hAnsi="Arial"/>
          <w:szCs w:val="24"/>
        </w:rPr>
        <w:lastRenderedPageBreak/>
        <w:t>the right to exercise fundamental rights under the Constitution, in this instance, the right to engage in collective bargaining and participate in strike action.</w:t>
      </w:r>
    </w:p>
    <w:p w:rsidR="004B5743" w:rsidRDefault="00A54FBE" w:rsidP="00A826E5">
      <w:pPr>
        <w:pStyle w:val="ClaireNew"/>
        <w:numPr>
          <w:ilvl w:val="0"/>
          <w:numId w:val="0"/>
        </w:numPr>
        <w:spacing w:before="240" w:after="120"/>
        <w:ind w:left="720" w:hanging="720"/>
        <w:rPr>
          <w:rFonts w:ascii="Arial" w:hAnsi="Arial"/>
          <w:szCs w:val="24"/>
        </w:rPr>
      </w:pPr>
      <w:r>
        <w:rPr>
          <w:rFonts w:ascii="Arial" w:hAnsi="Arial"/>
          <w:szCs w:val="24"/>
        </w:rPr>
        <w:t>[42</w:t>
      </w:r>
      <w:r w:rsidR="00D47BB1">
        <w:rPr>
          <w:rFonts w:ascii="Arial" w:hAnsi="Arial"/>
          <w:szCs w:val="24"/>
        </w:rPr>
        <w:t>]</w:t>
      </w:r>
      <w:r w:rsidR="00D47BB1">
        <w:rPr>
          <w:rFonts w:ascii="Arial" w:hAnsi="Arial"/>
          <w:szCs w:val="24"/>
        </w:rPr>
        <w:tab/>
        <w:t>In r</w:t>
      </w:r>
      <w:r w:rsidR="004B5743">
        <w:rPr>
          <w:rFonts w:ascii="Arial" w:hAnsi="Arial"/>
          <w:szCs w:val="24"/>
        </w:rPr>
        <w:t>egard specifically to the constitutional right to engage in collective bargainin</w:t>
      </w:r>
      <w:r w:rsidR="00D47BB1">
        <w:rPr>
          <w:rFonts w:ascii="Arial" w:hAnsi="Arial"/>
          <w:szCs w:val="24"/>
        </w:rPr>
        <w:t>g and the rights to freedom of a</w:t>
      </w:r>
      <w:r w:rsidR="004B5743">
        <w:rPr>
          <w:rFonts w:ascii="Arial" w:hAnsi="Arial"/>
          <w:szCs w:val="24"/>
        </w:rPr>
        <w:t xml:space="preserve">ssociation and to bargain collectively, AMCU submits </w:t>
      </w:r>
      <w:r w:rsidR="00D47BB1">
        <w:rPr>
          <w:rFonts w:ascii="Arial" w:hAnsi="Arial"/>
          <w:szCs w:val="24"/>
        </w:rPr>
        <w:t xml:space="preserve">that underpinning these rights </w:t>
      </w:r>
      <w:r w:rsidR="004B5743">
        <w:rPr>
          <w:rFonts w:ascii="Arial" w:hAnsi="Arial"/>
          <w:szCs w:val="24"/>
        </w:rPr>
        <w:t>is the right to dignity and in particular, the right to dignity of workers who, in our constitutiona</w:t>
      </w:r>
      <w:r w:rsidR="004B74F7">
        <w:rPr>
          <w:rFonts w:ascii="Arial" w:hAnsi="Arial"/>
          <w:szCs w:val="24"/>
        </w:rPr>
        <w:t>l order, may not be treated as coerced e</w:t>
      </w:r>
      <w:r w:rsidR="004B5743">
        <w:rPr>
          <w:rFonts w:ascii="Arial" w:hAnsi="Arial"/>
          <w:szCs w:val="24"/>
        </w:rPr>
        <w:t>mployees. Secondly, AMCU asserts that the right to strike is a critical component of the system of collective bargaining, and without the right to strike, the right to bargain collectively is rendered illusory</w:t>
      </w:r>
      <w:r w:rsidR="00AC1948">
        <w:rPr>
          <w:rFonts w:ascii="Arial" w:hAnsi="Arial"/>
          <w:szCs w:val="24"/>
        </w:rPr>
        <w:t>.</w:t>
      </w:r>
      <w:r w:rsidR="00AC1948" w:rsidRPr="00AC1948">
        <w:rPr>
          <w:rFonts w:ascii="Arial" w:hAnsi="Arial"/>
          <w:szCs w:val="24"/>
        </w:rPr>
        <w:t xml:space="preserve"> </w:t>
      </w:r>
      <w:r w:rsidR="00AC1948">
        <w:rPr>
          <w:rFonts w:ascii="Arial" w:hAnsi="Arial"/>
          <w:szCs w:val="24"/>
        </w:rPr>
        <w:t>Apart from the rights to engage in collective bargaining and to strike, AMCU invoked the rights to dignity, freedom of association, freedom of trade, occupation and profession and the right to just administrative action.</w:t>
      </w:r>
    </w:p>
    <w:p w:rsidR="00B61886" w:rsidRDefault="00D47BB1" w:rsidP="00A826E5">
      <w:pPr>
        <w:pStyle w:val="ClaireNew"/>
        <w:numPr>
          <w:ilvl w:val="0"/>
          <w:numId w:val="0"/>
        </w:numPr>
        <w:spacing w:before="240" w:after="120"/>
        <w:ind w:left="720" w:hanging="720"/>
        <w:rPr>
          <w:rFonts w:ascii="Arial" w:hAnsi="Arial"/>
          <w:szCs w:val="24"/>
        </w:rPr>
      </w:pPr>
      <w:r>
        <w:rPr>
          <w:rFonts w:ascii="Arial" w:hAnsi="Arial"/>
          <w:szCs w:val="24"/>
        </w:rPr>
        <w:t>[42</w:t>
      </w:r>
      <w:r w:rsidR="004B5743">
        <w:rPr>
          <w:rFonts w:ascii="Arial" w:hAnsi="Arial"/>
          <w:szCs w:val="24"/>
        </w:rPr>
        <w:t>]</w:t>
      </w:r>
      <w:r w:rsidR="004B5743">
        <w:rPr>
          <w:rFonts w:ascii="Arial" w:hAnsi="Arial"/>
          <w:szCs w:val="24"/>
        </w:rPr>
        <w:tab/>
      </w:r>
      <w:r w:rsidR="008F0A98">
        <w:rPr>
          <w:rFonts w:ascii="Arial" w:hAnsi="Arial"/>
          <w:szCs w:val="24"/>
        </w:rPr>
        <w:t>This</w:t>
      </w:r>
      <w:r w:rsidR="00B61886">
        <w:rPr>
          <w:rFonts w:ascii="Arial" w:hAnsi="Arial"/>
          <w:szCs w:val="24"/>
        </w:rPr>
        <w:t xml:space="preserve"> attack is diff</w:t>
      </w:r>
      <w:r w:rsidR="00903CD8">
        <w:rPr>
          <w:rFonts w:ascii="Arial" w:hAnsi="Arial"/>
          <w:szCs w:val="24"/>
        </w:rPr>
        <w:t>use and</w:t>
      </w:r>
      <w:r w:rsidR="00B61886">
        <w:rPr>
          <w:rFonts w:ascii="Arial" w:hAnsi="Arial"/>
          <w:szCs w:val="24"/>
        </w:rPr>
        <w:t xml:space="preserve"> far-reaching. In </w:t>
      </w:r>
      <w:r w:rsidR="00B61886" w:rsidRPr="00FB5D2D">
        <w:rPr>
          <w:rFonts w:ascii="Arial" w:hAnsi="Arial"/>
          <w:i/>
          <w:szCs w:val="24"/>
        </w:rPr>
        <w:t>Phillips and others v National Director of Public Prosecutions</w:t>
      </w:r>
      <w:r>
        <w:rPr>
          <w:rFonts w:ascii="Arial" w:hAnsi="Arial"/>
          <w:i/>
          <w:szCs w:val="24"/>
        </w:rPr>
        <w:t xml:space="preserve"> </w:t>
      </w:r>
      <w:r w:rsidR="00FB5D2D">
        <w:rPr>
          <w:rStyle w:val="FootnoteReference"/>
          <w:rFonts w:ascii="Arial" w:hAnsi="Arial"/>
          <w:szCs w:val="24"/>
        </w:rPr>
        <w:footnoteReference w:id="15"/>
      </w:r>
      <w:r>
        <w:rPr>
          <w:rFonts w:ascii="Arial" w:hAnsi="Arial"/>
          <w:szCs w:val="24"/>
        </w:rPr>
        <w:t xml:space="preserve"> the Constitutional C</w:t>
      </w:r>
      <w:r w:rsidR="00B61886">
        <w:rPr>
          <w:rFonts w:ascii="Arial" w:hAnsi="Arial"/>
          <w:szCs w:val="24"/>
        </w:rPr>
        <w:t xml:space="preserve">ourt emphasised the need to plead constitutional challenges to </w:t>
      </w:r>
      <w:r>
        <w:rPr>
          <w:rFonts w:ascii="Arial" w:hAnsi="Arial"/>
          <w:szCs w:val="24"/>
        </w:rPr>
        <w:t>legislation explicitly:</w:t>
      </w:r>
    </w:p>
    <w:p w:rsidR="00B61886" w:rsidRDefault="00D47BB1" w:rsidP="00B61886">
      <w:pPr>
        <w:pStyle w:val="ClaireNew"/>
        <w:numPr>
          <w:ilvl w:val="0"/>
          <w:numId w:val="0"/>
        </w:numPr>
        <w:spacing w:before="240" w:after="120"/>
        <w:ind w:left="1440"/>
        <w:rPr>
          <w:rFonts w:ascii="Arial" w:hAnsi="Arial"/>
          <w:sz w:val="22"/>
          <w:szCs w:val="24"/>
        </w:rPr>
      </w:pPr>
      <w:r>
        <w:rPr>
          <w:rFonts w:ascii="Arial" w:hAnsi="Arial"/>
          <w:sz w:val="22"/>
          <w:szCs w:val="24"/>
        </w:rPr>
        <w:t>‘T</w:t>
      </w:r>
      <w:r w:rsidR="00B61886">
        <w:rPr>
          <w:rFonts w:ascii="Arial" w:hAnsi="Arial"/>
          <w:sz w:val="22"/>
          <w:szCs w:val="24"/>
        </w:rPr>
        <w:t>he constitutional challenge should be explicit, with due notice to all affected. This requirement ensures that the correct order is made; that all interested parties have an opportunity to make representations; that the relevant evidence can, if necessary, be laid and that the requirements of the separation of powers are restricted.”</w:t>
      </w:r>
    </w:p>
    <w:p w:rsidR="00B61886" w:rsidRPr="00B61886" w:rsidRDefault="00A54FBE" w:rsidP="00A826E5">
      <w:pPr>
        <w:pStyle w:val="ClaireNew"/>
        <w:numPr>
          <w:ilvl w:val="0"/>
          <w:numId w:val="0"/>
        </w:numPr>
        <w:spacing w:before="240" w:after="120"/>
        <w:ind w:left="720" w:hanging="720"/>
        <w:rPr>
          <w:rFonts w:ascii="Arial" w:hAnsi="Arial"/>
          <w:szCs w:val="24"/>
        </w:rPr>
      </w:pPr>
      <w:r>
        <w:rPr>
          <w:rFonts w:ascii="Arial" w:hAnsi="Arial"/>
          <w:szCs w:val="24"/>
        </w:rPr>
        <w:t>[44</w:t>
      </w:r>
      <w:r w:rsidR="00D47BB1">
        <w:rPr>
          <w:rFonts w:ascii="Arial" w:hAnsi="Arial"/>
          <w:szCs w:val="24"/>
        </w:rPr>
        <w:t>]</w:t>
      </w:r>
      <w:r w:rsidR="00D47BB1">
        <w:rPr>
          <w:rFonts w:ascii="Arial" w:hAnsi="Arial"/>
          <w:szCs w:val="24"/>
        </w:rPr>
        <w:tab/>
      </w:r>
      <w:r w:rsidR="00B61886" w:rsidRPr="00B61886">
        <w:rPr>
          <w:rFonts w:ascii="Arial" w:hAnsi="Arial"/>
          <w:szCs w:val="24"/>
        </w:rPr>
        <w:t xml:space="preserve">In </w:t>
      </w:r>
      <w:r w:rsidR="00D47BB1">
        <w:rPr>
          <w:rFonts w:ascii="Arial" w:hAnsi="Arial"/>
          <w:i/>
          <w:szCs w:val="24"/>
        </w:rPr>
        <w:t xml:space="preserve">South African Transport and Allied Workers Union v </w:t>
      </w:r>
      <w:r w:rsidR="00FB5D2D" w:rsidRPr="00187468">
        <w:rPr>
          <w:rFonts w:ascii="Arial" w:hAnsi="Arial"/>
          <w:i/>
          <w:szCs w:val="24"/>
        </w:rPr>
        <w:t>Garvas</w:t>
      </w:r>
      <w:r w:rsidR="00D47BB1">
        <w:rPr>
          <w:rStyle w:val="FootnoteReference"/>
          <w:rFonts w:ascii="Arial" w:hAnsi="Arial"/>
          <w:szCs w:val="24"/>
        </w:rPr>
        <w:footnoteReference w:id="16"/>
      </w:r>
      <w:r w:rsidR="00D47BB1">
        <w:rPr>
          <w:rFonts w:ascii="Arial" w:hAnsi="Arial"/>
          <w:szCs w:val="24"/>
        </w:rPr>
        <w:t xml:space="preserve"> </w:t>
      </w:r>
      <w:r w:rsidR="00B61886" w:rsidRPr="00B61886">
        <w:rPr>
          <w:rFonts w:ascii="Arial" w:hAnsi="Arial"/>
          <w:szCs w:val="24"/>
        </w:rPr>
        <w:t xml:space="preserve">Jafta J explained the need for </w:t>
      </w:r>
      <w:r w:rsidR="00AC1948">
        <w:rPr>
          <w:rFonts w:ascii="Arial" w:hAnsi="Arial"/>
          <w:szCs w:val="24"/>
        </w:rPr>
        <w:t>accuracy in pleadings</w:t>
      </w:r>
      <w:r w:rsidR="00B61886" w:rsidRPr="00B61886">
        <w:rPr>
          <w:rFonts w:ascii="Arial" w:hAnsi="Arial"/>
          <w:szCs w:val="24"/>
        </w:rPr>
        <w:t xml:space="preserve"> in this context:</w:t>
      </w:r>
    </w:p>
    <w:p w:rsidR="00B61886" w:rsidRPr="00FB5D2D" w:rsidRDefault="00B61886" w:rsidP="007364E6">
      <w:pPr>
        <w:pStyle w:val="ClaireNew"/>
        <w:numPr>
          <w:ilvl w:val="0"/>
          <w:numId w:val="0"/>
        </w:numPr>
        <w:spacing w:before="240" w:after="120"/>
        <w:ind w:left="1440"/>
        <w:rPr>
          <w:rFonts w:ascii="Arial" w:hAnsi="Arial"/>
          <w:sz w:val="22"/>
          <w:szCs w:val="22"/>
        </w:rPr>
      </w:pPr>
      <w:r>
        <w:rPr>
          <w:rFonts w:ascii="Arial" w:hAnsi="Arial"/>
          <w:szCs w:val="24"/>
        </w:rPr>
        <w:t>‘</w:t>
      </w:r>
      <w:r w:rsidR="00D47BB1">
        <w:rPr>
          <w:rFonts w:ascii="Arial" w:hAnsi="Arial"/>
          <w:sz w:val="22"/>
          <w:szCs w:val="22"/>
        </w:rPr>
        <w:t>A</w:t>
      </w:r>
      <w:r w:rsidR="008F0A98">
        <w:rPr>
          <w:rFonts w:ascii="Arial" w:hAnsi="Arial"/>
          <w:sz w:val="22"/>
          <w:szCs w:val="22"/>
        </w:rPr>
        <w:t>ccuracy in</w:t>
      </w:r>
      <w:r w:rsidR="007364E6" w:rsidRPr="00FB5D2D">
        <w:rPr>
          <w:rFonts w:ascii="Arial" w:hAnsi="Arial"/>
          <w:sz w:val="22"/>
          <w:szCs w:val="22"/>
        </w:rPr>
        <w:t xml:space="preserve"> the pleadings is important not only for purposes of defining issues for parties involved in a particular litigation. Orders o</w:t>
      </w:r>
      <w:r w:rsidR="008F0A98">
        <w:rPr>
          <w:rFonts w:ascii="Arial" w:hAnsi="Arial"/>
          <w:sz w:val="22"/>
          <w:szCs w:val="22"/>
        </w:rPr>
        <w:t>f constitutional invalidity have a</w:t>
      </w:r>
      <w:r w:rsidR="007364E6" w:rsidRPr="00FB5D2D">
        <w:rPr>
          <w:rFonts w:ascii="Arial" w:hAnsi="Arial"/>
          <w:sz w:val="22"/>
          <w:szCs w:val="22"/>
        </w:rPr>
        <w:t xml:space="preserve"> reach that extends beyond parties to a case where a claim for a declaration of invalidity is made. But more i</w:t>
      </w:r>
      <w:r w:rsidR="008F0A98">
        <w:rPr>
          <w:rFonts w:ascii="Arial" w:hAnsi="Arial"/>
          <w:sz w:val="22"/>
          <w:szCs w:val="22"/>
        </w:rPr>
        <w:t>mportantly these orders intrude</w:t>
      </w:r>
      <w:r w:rsidR="007364E6" w:rsidRPr="00FB5D2D">
        <w:rPr>
          <w:rFonts w:ascii="Arial" w:hAnsi="Arial"/>
          <w:sz w:val="22"/>
          <w:szCs w:val="22"/>
        </w:rPr>
        <w:t xml:space="preserve">, albeit in a constitutionally permissible manner, into the domain of the legislature. The </w:t>
      </w:r>
      <w:r w:rsidR="007364E6" w:rsidRPr="00FB5D2D">
        <w:rPr>
          <w:rFonts w:ascii="Arial" w:hAnsi="Arial"/>
          <w:sz w:val="22"/>
          <w:szCs w:val="22"/>
        </w:rPr>
        <w:lastRenderedPageBreak/>
        <w:t>granting of these orders is a serious matter and they should be issued only</w:t>
      </w:r>
      <w:r w:rsidR="008F0A98">
        <w:rPr>
          <w:rFonts w:ascii="Arial" w:hAnsi="Arial"/>
          <w:sz w:val="22"/>
          <w:szCs w:val="22"/>
        </w:rPr>
        <w:t xml:space="preserve"> where the requirements of the C</w:t>
      </w:r>
      <w:r w:rsidR="007364E6" w:rsidRPr="00FB5D2D">
        <w:rPr>
          <w:rFonts w:ascii="Arial" w:hAnsi="Arial"/>
          <w:sz w:val="22"/>
          <w:szCs w:val="22"/>
        </w:rPr>
        <w:t xml:space="preserve">onstitution for a review of the exercise of </w:t>
      </w:r>
      <w:r w:rsidR="008F0A98">
        <w:rPr>
          <w:rFonts w:ascii="Arial" w:hAnsi="Arial"/>
          <w:sz w:val="22"/>
          <w:szCs w:val="22"/>
        </w:rPr>
        <w:t>legislative powers have been met. In s 2, the c</w:t>
      </w:r>
      <w:r w:rsidR="007364E6" w:rsidRPr="00FB5D2D">
        <w:rPr>
          <w:rFonts w:ascii="Arial" w:hAnsi="Arial"/>
          <w:sz w:val="22"/>
          <w:szCs w:val="22"/>
        </w:rPr>
        <w:t xml:space="preserve">onstitution proclaims its supremacy and declares that law </w:t>
      </w:r>
      <w:r w:rsidR="008F0A98">
        <w:rPr>
          <w:rFonts w:ascii="Arial" w:hAnsi="Arial"/>
          <w:sz w:val="22"/>
          <w:szCs w:val="22"/>
        </w:rPr>
        <w:t xml:space="preserve">or </w:t>
      </w:r>
      <w:r w:rsidR="007364E6" w:rsidRPr="00FB5D2D">
        <w:rPr>
          <w:rFonts w:ascii="Arial" w:hAnsi="Arial"/>
          <w:sz w:val="22"/>
          <w:szCs w:val="22"/>
        </w:rPr>
        <w:t>conduct inconsistent with it is invalid. But the power to determine whether a particular law is indeed i</w:t>
      </w:r>
      <w:r w:rsidR="008F0A98">
        <w:rPr>
          <w:rFonts w:ascii="Arial" w:hAnsi="Arial"/>
          <w:sz w:val="22"/>
          <w:szCs w:val="22"/>
        </w:rPr>
        <w:t>nconsistent with the C</w:t>
      </w:r>
      <w:r w:rsidR="007364E6" w:rsidRPr="00FB5D2D">
        <w:rPr>
          <w:rFonts w:ascii="Arial" w:hAnsi="Arial"/>
          <w:sz w:val="22"/>
          <w:szCs w:val="22"/>
        </w:rPr>
        <w:t>onstitution is conferred on</w:t>
      </w:r>
      <w:r w:rsidR="008F0A98">
        <w:rPr>
          <w:rFonts w:ascii="Arial" w:hAnsi="Arial"/>
          <w:sz w:val="22"/>
          <w:szCs w:val="22"/>
        </w:rPr>
        <w:t xml:space="preserve"> superior courts. Section 72 (1) (a)</w:t>
      </w:r>
      <w:r w:rsidR="007364E6" w:rsidRPr="00FB5D2D">
        <w:rPr>
          <w:rFonts w:ascii="Arial" w:hAnsi="Arial"/>
          <w:sz w:val="22"/>
          <w:szCs w:val="22"/>
        </w:rPr>
        <w:t xml:space="preserve"> obliges courts to declare law</w:t>
      </w:r>
      <w:r w:rsidR="008F0A98">
        <w:rPr>
          <w:rFonts w:ascii="Arial" w:hAnsi="Arial"/>
          <w:sz w:val="22"/>
          <w:szCs w:val="22"/>
        </w:rPr>
        <w:t xml:space="preserve"> or conduct inconsistent with the C</w:t>
      </w:r>
      <w:r w:rsidR="007364E6" w:rsidRPr="00FB5D2D">
        <w:rPr>
          <w:rFonts w:ascii="Arial" w:hAnsi="Arial"/>
          <w:sz w:val="22"/>
          <w:szCs w:val="22"/>
        </w:rPr>
        <w:t>onstitution to be invalid. The declaration must</w:t>
      </w:r>
      <w:r w:rsidR="008F0A98">
        <w:rPr>
          <w:rFonts w:ascii="Arial" w:hAnsi="Arial"/>
          <w:sz w:val="22"/>
          <w:szCs w:val="22"/>
        </w:rPr>
        <w:t xml:space="preserve">, however, </w:t>
      </w:r>
      <w:r w:rsidR="007364E6" w:rsidRPr="00FB5D2D">
        <w:rPr>
          <w:rFonts w:ascii="Arial" w:hAnsi="Arial"/>
          <w:sz w:val="22"/>
          <w:szCs w:val="22"/>
        </w:rPr>
        <w:t>be restricted to the extent of the inconsistency. The inconsistency delineates the scope of the judicial review and the consequent declaration of invalidity in respect of a particular challenge</w:t>
      </w:r>
      <w:r w:rsidR="008F0A98">
        <w:rPr>
          <w:rFonts w:ascii="Arial" w:hAnsi="Arial"/>
          <w:sz w:val="22"/>
          <w:szCs w:val="22"/>
        </w:rPr>
        <w:t>…</w:t>
      </w:r>
    </w:p>
    <w:p w:rsidR="007364E6" w:rsidRPr="00FB5D2D" w:rsidRDefault="007364E6" w:rsidP="007364E6">
      <w:pPr>
        <w:pStyle w:val="ClaireNew"/>
        <w:numPr>
          <w:ilvl w:val="0"/>
          <w:numId w:val="0"/>
        </w:numPr>
        <w:spacing w:before="240" w:after="120"/>
        <w:ind w:left="1440"/>
        <w:rPr>
          <w:rFonts w:ascii="Arial" w:hAnsi="Arial"/>
          <w:sz w:val="22"/>
          <w:szCs w:val="22"/>
        </w:rPr>
      </w:pPr>
      <w:r w:rsidRPr="00FB5D2D">
        <w:rPr>
          <w:rFonts w:ascii="Arial" w:hAnsi="Arial"/>
          <w:sz w:val="22"/>
          <w:szCs w:val="22"/>
        </w:rPr>
        <w:t xml:space="preserve">Holding parties to pleadings is not pedantry. It is an integral part of the principle of legal certainty which is an element of the rule of law, </w:t>
      </w:r>
      <w:r w:rsidR="008F0A98">
        <w:rPr>
          <w:rFonts w:ascii="Arial" w:hAnsi="Arial"/>
          <w:sz w:val="22"/>
          <w:szCs w:val="22"/>
        </w:rPr>
        <w:t>one of the values on which our C</w:t>
      </w:r>
      <w:r w:rsidRPr="00FB5D2D">
        <w:rPr>
          <w:rFonts w:ascii="Arial" w:hAnsi="Arial"/>
          <w:sz w:val="22"/>
          <w:szCs w:val="22"/>
        </w:rPr>
        <w:t>onstitution is founded. Every party contemplating a constitutional challenge should know the requirements it needs to satisfy and every other party likely to be affected by the relief sought must know precisely the case it is expected to meet.</w:t>
      </w:r>
      <w:r w:rsidR="008F0A98">
        <w:rPr>
          <w:rFonts w:ascii="Arial" w:hAnsi="Arial"/>
          <w:sz w:val="22"/>
          <w:szCs w:val="22"/>
        </w:rPr>
        <w:t xml:space="preserve">’ </w:t>
      </w:r>
      <w:r w:rsidR="008F0A98">
        <w:rPr>
          <w:rStyle w:val="FootnoteReference"/>
          <w:rFonts w:ascii="Arial" w:hAnsi="Arial"/>
          <w:sz w:val="22"/>
          <w:szCs w:val="22"/>
        </w:rPr>
        <w:footnoteReference w:id="17"/>
      </w:r>
    </w:p>
    <w:p w:rsidR="00146650" w:rsidRDefault="002774F5" w:rsidP="00903CD8">
      <w:pPr>
        <w:pStyle w:val="ClaireNew"/>
        <w:numPr>
          <w:ilvl w:val="0"/>
          <w:numId w:val="0"/>
        </w:numPr>
        <w:spacing w:before="240" w:after="120"/>
        <w:ind w:left="720" w:hanging="720"/>
        <w:rPr>
          <w:rFonts w:ascii="Arial" w:hAnsi="Arial"/>
          <w:szCs w:val="24"/>
        </w:rPr>
      </w:pPr>
      <w:r>
        <w:rPr>
          <w:rFonts w:ascii="Arial" w:hAnsi="Arial"/>
          <w:szCs w:val="24"/>
        </w:rPr>
        <w:t>[45</w:t>
      </w:r>
      <w:r w:rsidR="007364E6">
        <w:rPr>
          <w:rFonts w:ascii="Arial" w:hAnsi="Arial"/>
          <w:szCs w:val="24"/>
        </w:rPr>
        <w:t>]</w:t>
      </w:r>
      <w:r w:rsidR="007364E6">
        <w:rPr>
          <w:rFonts w:ascii="Arial" w:hAnsi="Arial"/>
          <w:szCs w:val="24"/>
        </w:rPr>
        <w:tab/>
      </w:r>
      <w:r w:rsidR="00722477">
        <w:rPr>
          <w:rFonts w:ascii="Arial" w:hAnsi="Arial"/>
          <w:szCs w:val="24"/>
        </w:rPr>
        <w:t>The constit</w:t>
      </w:r>
      <w:r w:rsidR="004B74F7">
        <w:rPr>
          <w:rFonts w:ascii="Arial" w:hAnsi="Arial"/>
          <w:szCs w:val="24"/>
        </w:rPr>
        <w:t>utional chall</w:t>
      </w:r>
      <w:r w:rsidR="008A2242">
        <w:rPr>
          <w:rFonts w:ascii="Arial" w:hAnsi="Arial"/>
          <w:szCs w:val="24"/>
        </w:rPr>
        <w:t>enge foreshadowed by prayer 4 of</w:t>
      </w:r>
      <w:r w:rsidR="004B74F7">
        <w:rPr>
          <w:rFonts w:ascii="Arial" w:hAnsi="Arial"/>
          <w:szCs w:val="24"/>
        </w:rPr>
        <w:t xml:space="preserve"> </w:t>
      </w:r>
      <w:r w:rsidR="00722477">
        <w:rPr>
          <w:rFonts w:ascii="Arial" w:hAnsi="Arial"/>
          <w:szCs w:val="24"/>
        </w:rPr>
        <w:t>the notice of motion i</w:t>
      </w:r>
      <w:r w:rsidR="00FB5D2D">
        <w:rPr>
          <w:rFonts w:ascii="Arial" w:hAnsi="Arial"/>
          <w:szCs w:val="24"/>
        </w:rPr>
        <w:t>s directed at s 23 (1) (d) read with s</w:t>
      </w:r>
      <w:r w:rsidR="00722477">
        <w:rPr>
          <w:rFonts w:ascii="Arial" w:hAnsi="Arial"/>
          <w:szCs w:val="24"/>
        </w:rPr>
        <w:t xml:space="preserve"> 65</w:t>
      </w:r>
      <w:r w:rsidR="004B74F7">
        <w:rPr>
          <w:rFonts w:ascii="Arial" w:hAnsi="Arial"/>
          <w:szCs w:val="24"/>
        </w:rPr>
        <w:t xml:space="preserve"> (1) (a) and the definition of ‘</w:t>
      </w:r>
      <w:r w:rsidR="00722477">
        <w:rPr>
          <w:rFonts w:ascii="Arial" w:hAnsi="Arial"/>
          <w:szCs w:val="24"/>
        </w:rPr>
        <w:t>wo</w:t>
      </w:r>
      <w:r w:rsidR="004B74F7">
        <w:rPr>
          <w:rFonts w:ascii="Arial" w:hAnsi="Arial"/>
          <w:szCs w:val="24"/>
        </w:rPr>
        <w:t>rkplace’</w:t>
      </w:r>
      <w:r w:rsidR="00FB5D2D">
        <w:rPr>
          <w:rFonts w:ascii="Arial" w:hAnsi="Arial"/>
          <w:szCs w:val="24"/>
        </w:rPr>
        <w:t xml:space="preserve"> set out in s 213</w:t>
      </w:r>
      <w:r w:rsidR="00722477">
        <w:rPr>
          <w:rFonts w:ascii="Arial" w:hAnsi="Arial"/>
          <w:szCs w:val="24"/>
        </w:rPr>
        <w:t xml:space="preserve">. </w:t>
      </w:r>
      <w:r w:rsidR="007364E6">
        <w:rPr>
          <w:rFonts w:ascii="Arial" w:hAnsi="Arial"/>
          <w:szCs w:val="24"/>
        </w:rPr>
        <w:t>In other words, the order sought appears to be directed at the combined effect of the sections concerned as opposed to the validity of any one or more of them</w:t>
      </w:r>
      <w:r w:rsidR="00146650">
        <w:rPr>
          <w:rFonts w:ascii="Arial" w:hAnsi="Arial"/>
          <w:szCs w:val="24"/>
        </w:rPr>
        <w:t xml:space="preserve">. </w:t>
      </w:r>
      <w:r w:rsidR="004B74F7">
        <w:rPr>
          <w:rFonts w:ascii="Arial" w:hAnsi="Arial"/>
          <w:szCs w:val="24"/>
        </w:rPr>
        <w:t>But it</w:t>
      </w:r>
      <w:r w:rsidR="007364E6">
        <w:rPr>
          <w:rFonts w:ascii="Arial" w:hAnsi="Arial"/>
          <w:szCs w:val="24"/>
        </w:rPr>
        <w:t xml:space="preserve"> would appear from the papers that notwithstanding AMCU’s ambivalence and the diffuse and vague manner in which the relief sought in the notice of motion has been cast, the real constitutional complaint is against s 23 (1) (d) because it allows for th</w:t>
      </w:r>
      <w:r w:rsidR="00BA1E52">
        <w:rPr>
          <w:rFonts w:ascii="Arial" w:hAnsi="Arial"/>
          <w:szCs w:val="24"/>
        </w:rPr>
        <w:t>e extension of agreements to no</w:t>
      </w:r>
      <w:r w:rsidR="0023150C">
        <w:rPr>
          <w:rFonts w:ascii="Arial" w:hAnsi="Arial"/>
          <w:szCs w:val="24"/>
        </w:rPr>
        <w:t>n</w:t>
      </w:r>
      <w:r w:rsidR="00BA1E52">
        <w:rPr>
          <w:rFonts w:ascii="Arial" w:hAnsi="Arial"/>
          <w:szCs w:val="24"/>
        </w:rPr>
        <w:t>-</w:t>
      </w:r>
      <w:r w:rsidR="0023150C">
        <w:rPr>
          <w:rFonts w:ascii="Arial" w:hAnsi="Arial"/>
          <w:szCs w:val="24"/>
        </w:rPr>
        <w:t>party</w:t>
      </w:r>
      <w:r w:rsidR="007364E6">
        <w:rPr>
          <w:rFonts w:ascii="Arial" w:hAnsi="Arial"/>
          <w:szCs w:val="24"/>
        </w:rPr>
        <w:t xml:space="preserve"> employees, and</w:t>
      </w:r>
      <w:r w:rsidR="00BA1E52">
        <w:rPr>
          <w:rFonts w:ascii="Arial" w:hAnsi="Arial"/>
          <w:szCs w:val="24"/>
        </w:rPr>
        <w:t xml:space="preserve"> thereby denies them the right to strike. </w:t>
      </w:r>
      <w:r w:rsidR="00146650">
        <w:rPr>
          <w:rFonts w:ascii="Arial" w:hAnsi="Arial"/>
          <w:szCs w:val="24"/>
        </w:rPr>
        <w:t xml:space="preserve">Although it says that s 23 (1) (d) must be read with s 65 (1) (a) and the definition of ‘workplace’, I do not understand </w:t>
      </w:r>
      <w:r w:rsidR="004B74F7">
        <w:rPr>
          <w:rFonts w:ascii="Arial" w:hAnsi="Arial"/>
          <w:szCs w:val="24"/>
        </w:rPr>
        <w:t>AMCU to</w:t>
      </w:r>
      <w:r w:rsidR="00146650">
        <w:rPr>
          <w:rFonts w:ascii="Arial" w:hAnsi="Arial"/>
          <w:szCs w:val="24"/>
        </w:rPr>
        <w:t xml:space="preserve"> seek an order to the effect that the latter two provisions are also unconstitutional. The case made out in the founding affidavit, which primarily concerns s 23 (1) (d) and why it should be struck down, is to the effect that the section lacks the checks and balances applicable to the extension </w:t>
      </w:r>
      <w:r w:rsidR="00146650">
        <w:rPr>
          <w:rFonts w:ascii="Arial" w:hAnsi="Arial"/>
          <w:szCs w:val="24"/>
        </w:rPr>
        <w:lastRenderedPageBreak/>
        <w:t>of collective agreemen</w:t>
      </w:r>
      <w:r w:rsidR="004B74F7">
        <w:rPr>
          <w:rFonts w:ascii="Arial" w:hAnsi="Arial"/>
          <w:szCs w:val="24"/>
        </w:rPr>
        <w:t xml:space="preserve">ts in terms of s 32 of the LRA, that </w:t>
      </w:r>
      <w:r w:rsidR="00146650">
        <w:rPr>
          <w:rFonts w:ascii="Arial" w:hAnsi="Arial"/>
          <w:szCs w:val="24"/>
        </w:rPr>
        <w:t>it is i</w:t>
      </w:r>
      <w:r w:rsidR="004B74F7">
        <w:rPr>
          <w:rFonts w:ascii="Arial" w:hAnsi="Arial"/>
          <w:szCs w:val="24"/>
        </w:rPr>
        <w:t>n conflict with the rule of law,</w:t>
      </w:r>
      <w:r w:rsidR="00146650">
        <w:rPr>
          <w:rFonts w:ascii="Arial" w:hAnsi="Arial"/>
          <w:szCs w:val="24"/>
        </w:rPr>
        <w:t xml:space="preserve"> and that a</w:t>
      </w:r>
      <w:r w:rsidR="0023150C">
        <w:rPr>
          <w:rFonts w:ascii="Arial" w:hAnsi="Arial"/>
          <w:szCs w:val="24"/>
        </w:rPr>
        <w:t xml:space="preserve"> system of </w:t>
      </w:r>
      <w:r w:rsidR="00146650">
        <w:rPr>
          <w:rFonts w:ascii="Arial" w:hAnsi="Arial"/>
          <w:szCs w:val="24"/>
        </w:rPr>
        <w:t>administrative approval system should replace it.</w:t>
      </w:r>
      <w:r w:rsidR="00146650">
        <w:rPr>
          <w:rStyle w:val="FootnoteReference"/>
          <w:rFonts w:ascii="Arial" w:hAnsi="Arial"/>
          <w:szCs w:val="24"/>
        </w:rPr>
        <w:footnoteReference w:id="18"/>
      </w:r>
      <w:r w:rsidR="00146650">
        <w:rPr>
          <w:rFonts w:ascii="Arial" w:hAnsi="Arial"/>
          <w:szCs w:val="24"/>
        </w:rPr>
        <w:t xml:space="preserve"> </w:t>
      </w:r>
    </w:p>
    <w:p w:rsidR="00BA1E52" w:rsidRDefault="002774F5" w:rsidP="00903CD8">
      <w:pPr>
        <w:pStyle w:val="ClaireNew"/>
        <w:numPr>
          <w:ilvl w:val="0"/>
          <w:numId w:val="0"/>
        </w:numPr>
        <w:spacing w:before="240" w:after="120"/>
        <w:ind w:left="720" w:hanging="720"/>
        <w:rPr>
          <w:rFonts w:ascii="Arial" w:hAnsi="Arial"/>
          <w:szCs w:val="24"/>
        </w:rPr>
      </w:pPr>
      <w:r>
        <w:rPr>
          <w:rFonts w:ascii="Arial" w:hAnsi="Arial"/>
          <w:szCs w:val="24"/>
        </w:rPr>
        <w:t>[46</w:t>
      </w:r>
      <w:r w:rsidR="00146650">
        <w:rPr>
          <w:rFonts w:ascii="Arial" w:hAnsi="Arial"/>
          <w:szCs w:val="24"/>
        </w:rPr>
        <w:t>]</w:t>
      </w:r>
      <w:r w:rsidR="00146650">
        <w:rPr>
          <w:rFonts w:ascii="Arial" w:hAnsi="Arial"/>
          <w:szCs w:val="24"/>
        </w:rPr>
        <w:tab/>
      </w:r>
      <w:r w:rsidR="004B74F7">
        <w:rPr>
          <w:rFonts w:ascii="Arial" w:hAnsi="Arial"/>
          <w:szCs w:val="24"/>
        </w:rPr>
        <w:t>All of t</w:t>
      </w:r>
      <w:r w:rsidR="000A506A">
        <w:rPr>
          <w:rFonts w:ascii="Arial" w:hAnsi="Arial"/>
          <w:szCs w:val="24"/>
        </w:rPr>
        <w:t>he respondents ac</w:t>
      </w:r>
      <w:r w:rsidR="00BA1E52">
        <w:rPr>
          <w:rFonts w:ascii="Arial" w:hAnsi="Arial"/>
          <w:szCs w:val="24"/>
        </w:rPr>
        <w:t>cept that the right to strike is limited by s 65 (1) (a), and indirectly, by s 23 (1) (d). Given these concessions, in my view, it is not necessary for the court to determine whether any of the other rights invoked by AMCU is implicated – the most directly implicat</w:t>
      </w:r>
      <w:r w:rsidR="00146650">
        <w:rPr>
          <w:rFonts w:ascii="Arial" w:hAnsi="Arial"/>
          <w:szCs w:val="24"/>
        </w:rPr>
        <w:t>ed right is the right to strike. What is primarily at issue in the present matter</w:t>
      </w:r>
      <w:r w:rsidR="00BA1E52">
        <w:rPr>
          <w:rFonts w:ascii="Arial" w:hAnsi="Arial"/>
          <w:szCs w:val="24"/>
        </w:rPr>
        <w:t xml:space="preserve"> is the limitation on the right to strike posed by s 23 (1) (d). If that limitation is justifiable, then any incidental limitation of other rights will also be justifiable. </w:t>
      </w:r>
    </w:p>
    <w:p w:rsidR="00722477" w:rsidRPr="00D34317" w:rsidRDefault="00722477" w:rsidP="00903CD8">
      <w:pPr>
        <w:pStyle w:val="ClaireNew"/>
        <w:numPr>
          <w:ilvl w:val="0"/>
          <w:numId w:val="0"/>
        </w:numPr>
        <w:spacing w:before="240" w:after="120"/>
        <w:ind w:left="720" w:hanging="720"/>
        <w:rPr>
          <w:rFonts w:ascii="Arial" w:hAnsi="Arial"/>
          <w:i/>
          <w:szCs w:val="24"/>
          <w:u w:val="single"/>
        </w:rPr>
      </w:pPr>
      <w:r w:rsidRPr="00D34317">
        <w:rPr>
          <w:rFonts w:ascii="Arial" w:hAnsi="Arial"/>
          <w:i/>
          <w:szCs w:val="24"/>
          <w:u w:val="single"/>
        </w:rPr>
        <w:t>The rule of law attack</w:t>
      </w:r>
    </w:p>
    <w:p w:rsidR="00722477" w:rsidRDefault="002774F5" w:rsidP="00722477">
      <w:pPr>
        <w:pStyle w:val="ClaireNew"/>
        <w:numPr>
          <w:ilvl w:val="0"/>
          <w:numId w:val="0"/>
        </w:numPr>
        <w:spacing w:before="240" w:after="120"/>
        <w:ind w:left="720" w:hanging="720"/>
        <w:rPr>
          <w:rFonts w:ascii="Arial" w:hAnsi="Arial"/>
          <w:szCs w:val="24"/>
        </w:rPr>
      </w:pPr>
      <w:r>
        <w:rPr>
          <w:rFonts w:ascii="Arial" w:hAnsi="Arial"/>
          <w:szCs w:val="24"/>
        </w:rPr>
        <w:t>[47</w:t>
      </w:r>
      <w:r w:rsidR="000A506A">
        <w:rPr>
          <w:rFonts w:ascii="Arial" w:hAnsi="Arial"/>
          <w:szCs w:val="24"/>
        </w:rPr>
        <w:t>]</w:t>
      </w:r>
      <w:r w:rsidR="000A506A">
        <w:rPr>
          <w:rFonts w:ascii="Arial" w:hAnsi="Arial"/>
          <w:szCs w:val="24"/>
        </w:rPr>
        <w:tab/>
      </w:r>
      <w:r w:rsidR="00722477">
        <w:rPr>
          <w:rFonts w:ascii="Arial" w:hAnsi="Arial"/>
          <w:szCs w:val="24"/>
        </w:rPr>
        <w:t xml:space="preserve">Central to </w:t>
      </w:r>
      <w:r w:rsidR="00AC1948">
        <w:rPr>
          <w:rFonts w:ascii="Arial" w:hAnsi="Arial"/>
          <w:szCs w:val="24"/>
        </w:rPr>
        <w:t>AMCU’s rule of law</w:t>
      </w:r>
      <w:r w:rsidR="00722477">
        <w:rPr>
          <w:rFonts w:ascii="Arial" w:hAnsi="Arial"/>
          <w:szCs w:val="24"/>
        </w:rPr>
        <w:t xml:space="preserve"> attack is the assertion that the parties to a collective agreement that is extended in terms of s 23 (1) (d) are effectively exercising public power. It is clear from the terms of s 23 and the regulation of the binding effect of collective agreements generally that in circumstances such as the present, correctly understood, this is an instance of legislation (adopted by parliament i</w:t>
      </w:r>
      <w:r w:rsidR="0023150C">
        <w:rPr>
          <w:rFonts w:ascii="Arial" w:hAnsi="Arial"/>
          <w:szCs w:val="24"/>
        </w:rPr>
        <w:t>n the exercise of its public power</w:t>
      </w:r>
      <w:r w:rsidR="00722477">
        <w:rPr>
          <w:rFonts w:ascii="Arial" w:hAnsi="Arial"/>
          <w:szCs w:val="24"/>
        </w:rPr>
        <w:t>) that creates legal rights obligations flowing from the conduct of private parties. It does not follow</w:t>
      </w:r>
      <w:r w:rsidR="0023150C">
        <w:rPr>
          <w:rFonts w:ascii="Arial" w:hAnsi="Arial"/>
          <w:szCs w:val="24"/>
        </w:rPr>
        <w:t xml:space="preserve"> </w:t>
      </w:r>
      <w:r w:rsidR="00722477">
        <w:rPr>
          <w:rFonts w:ascii="Arial" w:hAnsi="Arial"/>
          <w:szCs w:val="24"/>
        </w:rPr>
        <w:t>that simply because an organ of state exercising public power is constrained by the principl</w:t>
      </w:r>
      <w:r w:rsidR="0023150C">
        <w:rPr>
          <w:rFonts w:ascii="Arial" w:hAnsi="Arial"/>
          <w:szCs w:val="24"/>
        </w:rPr>
        <w:t>e of legality to exercise no power</w:t>
      </w:r>
      <w:r w:rsidR="00722477">
        <w:rPr>
          <w:rFonts w:ascii="Arial" w:hAnsi="Arial"/>
          <w:szCs w:val="24"/>
        </w:rPr>
        <w:t xml:space="preserve"> beyond that conferred on i</w:t>
      </w:r>
      <w:r w:rsidR="004B74F7">
        <w:rPr>
          <w:rFonts w:ascii="Arial" w:hAnsi="Arial"/>
          <w:szCs w:val="24"/>
        </w:rPr>
        <w:t>t by law,</w:t>
      </w:r>
      <w:r w:rsidR="00722477">
        <w:rPr>
          <w:rFonts w:ascii="Arial" w:hAnsi="Arial"/>
          <w:szCs w:val="24"/>
        </w:rPr>
        <w:t xml:space="preserve"> that the conduct of private parties may not hav</w:t>
      </w:r>
      <w:r w:rsidR="0023150C">
        <w:rPr>
          <w:rFonts w:ascii="Arial" w:hAnsi="Arial"/>
          <w:szCs w:val="24"/>
        </w:rPr>
        <w:t xml:space="preserve">e legal consequences for third </w:t>
      </w:r>
      <w:r w:rsidR="00722477">
        <w:rPr>
          <w:rFonts w:ascii="Arial" w:hAnsi="Arial"/>
          <w:szCs w:val="24"/>
        </w:rPr>
        <w:t xml:space="preserve">parties. </w:t>
      </w:r>
      <w:r w:rsidR="00D96097">
        <w:rPr>
          <w:rFonts w:ascii="Arial" w:hAnsi="Arial"/>
          <w:szCs w:val="24"/>
        </w:rPr>
        <w:t xml:space="preserve"> Section 23 (1) (d)</w:t>
      </w:r>
      <w:r w:rsidR="00722477">
        <w:rPr>
          <w:rFonts w:ascii="Arial" w:hAnsi="Arial"/>
          <w:szCs w:val="24"/>
        </w:rPr>
        <w:t xml:space="preserve"> is not concerned with the exercise of public </w:t>
      </w:r>
      <w:r w:rsidR="00D96097">
        <w:rPr>
          <w:rFonts w:ascii="Arial" w:hAnsi="Arial"/>
          <w:szCs w:val="24"/>
        </w:rPr>
        <w:t>power</w:t>
      </w:r>
      <w:r w:rsidR="00722477">
        <w:rPr>
          <w:rFonts w:ascii="Arial" w:hAnsi="Arial"/>
          <w:szCs w:val="24"/>
        </w:rPr>
        <w:t>. It is simply an instance of national legislation creating legal consequences that flow from specific facts. The extension of an ag</w:t>
      </w:r>
      <w:r w:rsidR="00D96097">
        <w:rPr>
          <w:rFonts w:ascii="Arial" w:hAnsi="Arial"/>
          <w:szCs w:val="24"/>
        </w:rPr>
        <w:t>reement in terms of section 23 (1) (d)</w:t>
      </w:r>
      <w:r w:rsidR="00722477">
        <w:rPr>
          <w:rFonts w:ascii="Arial" w:hAnsi="Arial"/>
          <w:szCs w:val="24"/>
        </w:rPr>
        <w:t xml:space="preserve"> take operation of a legislative provision - if the agreement meets the conditions set out in subparagraphs (d) (i) to (iii), the agreement binds all employees in the workplace by operation of law</w:t>
      </w:r>
      <w:r w:rsidR="00AC1948">
        <w:rPr>
          <w:rFonts w:ascii="Arial" w:hAnsi="Arial"/>
          <w:szCs w:val="24"/>
        </w:rPr>
        <w:t>. There is nothing inimical</w:t>
      </w:r>
      <w:r w:rsidR="00722477">
        <w:rPr>
          <w:rFonts w:ascii="Arial" w:hAnsi="Arial"/>
          <w:szCs w:val="24"/>
        </w:rPr>
        <w:t xml:space="preserve"> to the rule of law for legislation to </w:t>
      </w:r>
      <w:r w:rsidR="00722477">
        <w:rPr>
          <w:rFonts w:ascii="Arial" w:hAnsi="Arial"/>
          <w:szCs w:val="24"/>
        </w:rPr>
        <w:lastRenderedPageBreak/>
        <w:t>provide for legal consequences to flow from the conduct of private parties. Legislation does so frequently, in a range of contexts, and without requiring the consent of all affected partie</w:t>
      </w:r>
      <w:r w:rsidR="008A2242">
        <w:rPr>
          <w:rFonts w:ascii="Arial" w:hAnsi="Arial"/>
          <w:szCs w:val="24"/>
        </w:rPr>
        <w:t xml:space="preserve">s. </w:t>
      </w:r>
    </w:p>
    <w:p w:rsidR="00722477" w:rsidRDefault="002774F5" w:rsidP="00722477">
      <w:pPr>
        <w:pStyle w:val="ClaireNew"/>
        <w:numPr>
          <w:ilvl w:val="0"/>
          <w:numId w:val="0"/>
        </w:numPr>
        <w:spacing w:before="240" w:after="120"/>
        <w:ind w:left="720" w:hanging="720"/>
        <w:rPr>
          <w:rFonts w:ascii="Arial" w:hAnsi="Arial"/>
          <w:szCs w:val="24"/>
        </w:rPr>
      </w:pPr>
      <w:r>
        <w:rPr>
          <w:rFonts w:ascii="Arial" w:hAnsi="Arial"/>
          <w:szCs w:val="24"/>
        </w:rPr>
        <w:t>[48</w:t>
      </w:r>
      <w:r w:rsidR="00D47BB1">
        <w:rPr>
          <w:rFonts w:ascii="Arial" w:hAnsi="Arial"/>
          <w:szCs w:val="24"/>
        </w:rPr>
        <w:t>]</w:t>
      </w:r>
      <w:r w:rsidR="00D47BB1">
        <w:rPr>
          <w:rFonts w:ascii="Arial" w:hAnsi="Arial"/>
          <w:szCs w:val="24"/>
        </w:rPr>
        <w:tab/>
      </w:r>
      <w:r w:rsidR="00722477">
        <w:rPr>
          <w:rFonts w:ascii="Arial" w:hAnsi="Arial"/>
          <w:szCs w:val="24"/>
        </w:rPr>
        <w:t xml:space="preserve">To the extent that AMCU persisted </w:t>
      </w:r>
      <w:r w:rsidR="00E271BE">
        <w:rPr>
          <w:rFonts w:ascii="Arial" w:hAnsi="Arial"/>
          <w:szCs w:val="24"/>
        </w:rPr>
        <w:t>with its reliance on additional</w:t>
      </w:r>
      <w:r w:rsidR="00722477">
        <w:rPr>
          <w:rFonts w:ascii="Arial" w:hAnsi="Arial"/>
          <w:szCs w:val="24"/>
        </w:rPr>
        <w:t xml:space="preserve"> constitutional rights, the extension of a collective agreement to a person does not implement the right to dignit</w:t>
      </w:r>
      <w:r w:rsidR="00D96097">
        <w:rPr>
          <w:rFonts w:ascii="Arial" w:hAnsi="Arial"/>
          <w:szCs w:val="24"/>
        </w:rPr>
        <w:t>y. To the extent that the right is</w:t>
      </w:r>
      <w:r w:rsidR="00722477">
        <w:rPr>
          <w:rFonts w:ascii="Arial" w:hAnsi="Arial"/>
          <w:szCs w:val="24"/>
        </w:rPr>
        <w:t xml:space="preserve"> implicated all, this is only indirectly as a consequence of the limitations of the right to strike and to bargain collectively. A separate enquiry into the right to dignity will not lead to a different outcome. Similarly, in regard to the right to freedom of trade occupation and professiona</w:t>
      </w:r>
      <w:r w:rsidR="00D96097">
        <w:rPr>
          <w:rFonts w:ascii="Arial" w:hAnsi="Arial"/>
          <w:szCs w:val="24"/>
        </w:rPr>
        <w:t>l under s 22 of the Constitution, s</w:t>
      </w:r>
      <w:r w:rsidR="00722477">
        <w:rPr>
          <w:rFonts w:ascii="Arial" w:hAnsi="Arial"/>
          <w:szCs w:val="24"/>
        </w:rPr>
        <w:t>23 (1) (d) does not make it impossible for a minority union to secure organisational rights in terms of the LRA, or potentially to secure majority represent</w:t>
      </w:r>
      <w:r w:rsidR="00D96097">
        <w:rPr>
          <w:rFonts w:ascii="Arial" w:hAnsi="Arial"/>
          <w:szCs w:val="24"/>
        </w:rPr>
        <w:t>at</w:t>
      </w:r>
      <w:r w:rsidR="00722477">
        <w:rPr>
          <w:rFonts w:ascii="Arial" w:hAnsi="Arial"/>
          <w:szCs w:val="24"/>
        </w:rPr>
        <w:t xml:space="preserve">ivity. To the extent that any extension in terms of s 23 </w:t>
      </w:r>
      <w:r w:rsidR="00AC1948">
        <w:rPr>
          <w:rFonts w:ascii="Arial" w:hAnsi="Arial"/>
          <w:szCs w:val="24"/>
        </w:rPr>
        <w:t>(</w:t>
      </w:r>
      <w:r w:rsidR="00722477">
        <w:rPr>
          <w:rFonts w:ascii="Arial" w:hAnsi="Arial"/>
          <w:szCs w:val="24"/>
        </w:rPr>
        <w:t>1</w:t>
      </w:r>
      <w:r w:rsidR="00AC1948">
        <w:rPr>
          <w:rFonts w:ascii="Arial" w:hAnsi="Arial"/>
          <w:szCs w:val="24"/>
        </w:rPr>
        <w:t>)</w:t>
      </w:r>
      <w:r w:rsidR="00722477">
        <w:rPr>
          <w:rFonts w:ascii="Arial" w:hAnsi="Arial"/>
          <w:szCs w:val="24"/>
        </w:rPr>
        <w:t xml:space="preserve"> </w:t>
      </w:r>
      <w:r w:rsidR="00AC1948">
        <w:rPr>
          <w:rFonts w:ascii="Arial" w:hAnsi="Arial"/>
          <w:szCs w:val="24"/>
        </w:rPr>
        <w:t>(</w:t>
      </w:r>
      <w:r w:rsidR="00722477">
        <w:rPr>
          <w:rFonts w:ascii="Arial" w:hAnsi="Arial"/>
          <w:szCs w:val="24"/>
        </w:rPr>
        <w:t>d</w:t>
      </w:r>
      <w:r w:rsidR="00AC1948">
        <w:rPr>
          <w:rFonts w:ascii="Arial" w:hAnsi="Arial"/>
          <w:szCs w:val="24"/>
        </w:rPr>
        <w:t>) serves</w:t>
      </w:r>
      <w:r w:rsidR="00722477">
        <w:rPr>
          <w:rFonts w:ascii="Arial" w:hAnsi="Arial"/>
          <w:szCs w:val="24"/>
        </w:rPr>
        <w:t xml:space="preserve"> to</w:t>
      </w:r>
      <w:r w:rsidR="00D96097">
        <w:rPr>
          <w:rFonts w:ascii="Arial" w:hAnsi="Arial"/>
          <w:szCs w:val="24"/>
        </w:rPr>
        <w:t xml:space="preserve"> limit the right to freedom of a</w:t>
      </w:r>
      <w:r w:rsidR="00722477">
        <w:rPr>
          <w:rFonts w:ascii="Arial" w:hAnsi="Arial"/>
          <w:szCs w:val="24"/>
        </w:rPr>
        <w:t xml:space="preserve">ssociation, that limitation is both indirect and limited. </w:t>
      </w:r>
    </w:p>
    <w:p w:rsidR="00722477" w:rsidRPr="00D34317" w:rsidRDefault="00722477" w:rsidP="00903CD8">
      <w:pPr>
        <w:pStyle w:val="ClaireNew"/>
        <w:numPr>
          <w:ilvl w:val="0"/>
          <w:numId w:val="0"/>
        </w:numPr>
        <w:spacing w:before="240" w:after="120"/>
        <w:ind w:left="720" w:hanging="720"/>
        <w:rPr>
          <w:rFonts w:ascii="Arial" w:hAnsi="Arial"/>
          <w:i/>
          <w:szCs w:val="24"/>
          <w:u w:val="single"/>
        </w:rPr>
      </w:pPr>
      <w:r w:rsidRPr="00D34317">
        <w:rPr>
          <w:rFonts w:ascii="Arial" w:hAnsi="Arial"/>
          <w:i/>
          <w:szCs w:val="24"/>
          <w:u w:val="single"/>
        </w:rPr>
        <w:t>S</w:t>
      </w:r>
      <w:r w:rsidR="00D34317">
        <w:rPr>
          <w:rFonts w:ascii="Arial" w:hAnsi="Arial"/>
          <w:i/>
          <w:szCs w:val="24"/>
          <w:u w:val="single"/>
        </w:rPr>
        <w:t>ection</w:t>
      </w:r>
      <w:r w:rsidRPr="00D34317">
        <w:rPr>
          <w:rFonts w:ascii="Arial" w:hAnsi="Arial"/>
          <w:i/>
          <w:szCs w:val="24"/>
          <w:u w:val="single"/>
        </w:rPr>
        <w:t xml:space="preserve"> 23 and the limitation of the right to strike</w:t>
      </w:r>
    </w:p>
    <w:p w:rsidR="005C3E5E" w:rsidRDefault="002774F5" w:rsidP="005C3E5E">
      <w:pPr>
        <w:pStyle w:val="ClaireNew"/>
        <w:numPr>
          <w:ilvl w:val="0"/>
          <w:numId w:val="0"/>
        </w:numPr>
        <w:spacing w:before="240" w:after="120"/>
        <w:ind w:left="720" w:hanging="720"/>
        <w:rPr>
          <w:rFonts w:ascii="Arial" w:hAnsi="Arial"/>
          <w:szCs w:val="24"/>
        </w:rPr>
      </w:pPr>
      <w:r>
        <w:rPr>
          <w:rFonts w:ascii="Arial" w:hAnsi="Arial"/>
          <w:szCs w:val="24"/>
        </w:rPr>
        <w:t>[49</w:t>
      </w:r>
      <w:r w:rsidR="00BA1E52">
        <w:rPr>
          <w:rFonts w:ascii="Arial" w:hAnsi="Arial"/>
          <w:szCs w:val="24"/>
        </w:rPr>
        <w:t>]</w:t>
      </w:r>
      <w:r w:rsidR="00BA1E52">
        <w:rPr>
          <w:rFonts w:ascii="Arial" w:hAnsi="Arial"/>
          <w:szCs w:val="24"/>
        </w:rPr>
        <w:tab/>
      </w:r>
      <w:r w:rsidR="0070236A">
        <w:rPr>
          <w:rFonts w:ascii="Arial" w:hAnsi="Arial"/>
          <w:szCs w:val="24"/>
        </w:rPr>
        <w:t>A</w:t>
      </w:r>
      <w:r w:rsidR="00BA1E52">
        <w:rPr>
          <w:rFonts w:ascii="Arial" w:hAnsi="Arial"/>
          <w:szCs w:val="24"/>
        </w:rPr>
        <w:t>ll of the</w:t>
      </w:r>
      <w:r w:rsidR="0070236A">
        <w:rPr>
          <w:rFonts w:ascii="Arial" w:hAnsi="Arial"/>
          <w:szCs w:val="24"/>
        </w:rPr>
        <w:t xml:space="preserve"> parties to the present enquiry accept</w:t>
      </w:r>
      <w:r w:rsidR="00BA1E52">
        <w:rPr>
          <w:rFonts w:ascii="Arial" w:hAnsi="Arial"/>
          <w:szCs w:val="24"/>
        </w:rPr>
        <w:t xml:space="preserve"> that the</w:t>
      </w:r>
      <w:r w:rsidR="0070236A">
        <w:rPr>
          <w:rFonts w:ascii="Arial" w:hAnsi="Arial"/>
          <w:szCs w:val="24"/>
        </w:rPr>
        <w:t xml:space="preserve"> right to strike is a fundamental</w:t>
      </w:r>
      <w:r w:rsidR="00BA1E52">
        <w:rPr>
          <w:rFonts w:ascii="Arial" w:hAnsi="Arial"/>
          <w:szCs w:val="24"/>
        </w:rPr>
        <w:t xml:space="preserve"> constitutional right</w:t>
      </w:r>
      <w:r w:rsidR="004B0E23">
        <w:rPr>
          <w:rFonts w:ascii="Arial" w:hAnsi="Arial"/>
          <w:szCs w:val="24"/>
        </w:rPr>
        <w:t xml:space="preserve">, </w:t>
      </w:r>
      <w:r w:rsidR="00722477">
        <w:rPr>
          <w:rFonts w:ascii="Arial" w:hAnsi="Arial"/>
          <w:szCs w:val="24"/>
        </w:rPr>
        <w:t>predic</w:t>
      </w:r>
      <w:r w:rsidR="004B0E23">
        <w:rPr>
          <w:rFonts w:ascii="Arial" w:hAnsi="Arial"/>
          <w:szCs w:val="24"/>
        </w:rPr>
        <w:t>a</w:t>
      </w:r>
      <w:r w:rsidR="00722477">
        <w:rPr>
          <w:rFonts w:ascii="Arial" w:hAnsi="Arial"/>
          <w:szCs w:val="24"/>
        </w:rPr>
        <w:t>ted</w:t>
      </w:r>
      <w:r w:rsidR="0070236A">
        <w:rPr>
          <w:rFonts w:ascii="Arial" w:hAnsi="Arial"/>
          <w:szCs w:val="24"/>
        </w:rPr>
        <w:t xml:space="preserve"> as it is on the need to redress</w:t>
      </w:r>
      <w:r w:rsidR="00722477">
        <w:rPr>
          <w:rFonts w:ascii="Arial" w:hAnsi="Arial"/>
          <w:szCs w:val="24"/>
        </w:rPr>
        <w:t xml:space="preserve"> inequality in social</w:t>
      </w:r>
      <w:r w:rsidR="00D96097">
        <w:rPr>
          <w:rFonts w:ascii="Arial" w:hAnsi="Arial"/>
          <w:szCs w:val="24"/>
        </w:rPr>
        <w:t xml:space="preserve"> and economic power in the</w:t>
      </w:r>
      <w:r w:rsidR="00722477">
        <w:rPr>
          <w:rFonts w:ascii="Arial" w:hAnsi="Arial"/>
          <w:szCs w:val="24"/>
        </w:rPr>
        <w:t xml:space="preserve"> relations</w:t>
      </w:r>
      <w:r w:rsidR="00D96097">
        <w:rPr>
          <w:rFonts w:ascii="Arial" w:hAnsi="Arial"/>
          <w:szCs w:val="24"/>
        </w:rPr>
        <w:t>hip between employer and employee</w:t>
      </w:r>
      <w:r w:rsidR="00722477">
        <w:rPr>
          <w:rFonts w:ascii="Arial" w:hAnsi="Arial"/>
          <w:szCs w:val="24"/>
        </w:rPr>
        <w:t xml:space="preserve">. </w:t>
      </w:r>
      <w:r w:rsidR="00BA1E52">
        <w:rPr>
          <w:rFonts w:ascii="Arial" w:hAnsi="Arial"/>
          <w:szCs w:val="24"/>
        </w:rPr>
        <w:t xml:space="preserve">It also </w:t>
      </w:r>
      <w:r w:rsidR="0070236A">
        <w:rPr>
          <w:rFonts w:ascii="Arial" w:hAnsi="Arial"/>
          <w:szCs w:val="24"/>
        </w:rPr>
        <w:t xml:space="preserve">has associational elements </w:t>
      </w:r>
      <w:r w:rsidR="00BA1E52">
        <w:rPr>
          <w:rFonts w:ascii="Arial" w:hAnsi="Arial"/>
          <w:szCs w:val="24"/>
        </w:rPr>
        <w:t xml:space="preserve">which </w:t>
      </w:r>
      <w:r w:rsidR="0070236A">
        <w:rPr>
          <w:rFonts w:ascii="Arial" w:hAnsi="Arial"/>
          <w:szCs w:val="24"/>
        </w:rPr>
        <w:t xml:space="preserve">serve to </w:t>
      </w:r>
      <w:r w:rsidR="00BA1E52">
        <w:rPr>
          <w:rFonts w:ascii="Arial" w:hAnsi="Arial"/>
          <w:szCs w:val="24"/>
        </w:rPr>
        <w:t>enhance and reinforce other social and political righ</w:t>
      </w:r>
      <w:r w:rsidR="004B0E23">
        <w:rPr>
          <w:rFonts w:ascii="Arial" w:hAnsi="Arial"/>
          <w:szCs w:val="24"/>
        </w:rPr>
        <w:t>ts in the C</w:t>
      </w:r>
      <w:r w:rsidR="00BA1E52">
        <w:rPr>
          <w:rFonts w:ascii="Arial" w:hAnsi="Arial"/>
          <w:szCs w:val="24"/>
        </w:rPr>
        <w:t>onstit</w:t>
      </w:r>
      <w:r w:rsidR="0070236A">
        <w:rPr>
          <w:rFonts w:ascii="Arial" w:hAnsi="Arial"/>
          <w:szCs w:val="24"/>
        </w:rPr>
        <w:t>ution, particularly freedom of a</w:t>
      </w:r>
      <w:r w:rsidR="00BA1E52">
        <w:rPr>
          <w:rFonts w:ascii="Arial" w:hAnsi="Arial"/>
          <w:szCs w:val="24"/>
        </w:rPr>
        <w:t>ssociation.</w:t>
      </w:r>
      <w:r w:rsidR="0070236A">
        <w:rPr>
          <w:rStyle w:val="FootnoteReference"/>
          <w:rFonts w:ascii="Arial" w:hAnsi="Arial"/>
          <w:szCs w:val="24"/>
        </w:rPr>
        <w:footnoteReference w:id="19"/>
      </w:r>
      <w:r w:rsidR="00BA1E52">
        <w:rPr>
          <w:rFonts w:ascii="Arial" w:hAnsi="Arial"/>
          <w:szCs w:val="24"/>
        </w:rPr>
        <w:t xml:space="preserve"> </w:t>
      </w:r>
      <w:r w:rsidR="0070236A">
        <w:rPr>
          <w:rFonts w:ascii="Arial" w:hAnsi="Arial"/>
          <w:szCs w:val="24"/>
        </w:rPr>
        <w:t>I</w:t>
      </w:r>
      <w:r w:rsidR="00722477">
        <w:rPr>
          <w:rFonts w:ascii="Arial" w:hAnsi="Arial"/>
          <w:szCs w:val="24"/>
        </w:rPr>
        <w:t xml:space="preserve">n </w:t>
      </w:r>
      <w:r w:rsidR="00965A71">
        <w:rPr>
          <w:rFonts w:ascii="Arial" w:hAnsi="Arial"/>
          <w:szCs w:val="24"/>
        </w:rPr>
        <w:t>the</w:t>
      </w:r>
      <w:r w:rsidR="005C3E5E">
        <w:rPr>
          <w:rFonts w:ascii="Arial" w:hAnsi="Arial"/>
          <w:szCs w:val="24"/>
        </w:rPr>
        <w:t xml:space="preserve"> first certification case, </w:t>
      </w:r>
      <w:r w:rsidR="005C3E5E">
        <w:rPr>
          <w:rFonts w:ascii="Arial" w:hAnsi="Arial"/>
          <w:i/>
          <w:szCs w:val="24"/>
        </w:rPr>
        <w:t>Chairperson of the Constitutional Assembly, ex parte: In re Cer</w:t>
      </w:r>
      <w:r w:rsidR="004B0E23">
        <w:rPr>
          <w:rFonts w:ascii="Arial" w:hAnsi="Arial"/>
          <w:i/>
          <w:szCs w:val="24"/>
        </w:rPr>
        <w:t>t</w:t>
      </w:r>
      <w:r w:rsidR="005C3E5E">
        <w:rPr>
          <w:rFonts w:ascii="Arial" w:hAnsi="Arial"/>
          <w:i/>
          <w:szCs w:val="24"/>
        </w:rPr>
        <w:t>ification of the Constitution o</w:t>
      </w:r>
      <w:r w:rsidR="004B0E23">
        <w:rPr>
          <w:rFonts w:ascii="Arial" w:hAnsi="Arial"/>
          <w:i/>
          <w:szCs w:val="24"/>
        </w:rPr>
        <w:t>f the Republic of South Africa,</w:t>
      </w:r>
      <w:r w:rsidR="005C3E5E">
        <w:rPr>
          <w:rStyle w:val="FootnoteReference"/>
          <w:rFonts w:ascii="Arial" w:hAnsi="Arial"/>
          <w:szCs w:val="24"/>
        </w:rPr>
        <w:footnoteReference w:id="20"/>
      </w:r>
      <w:r w:rsidR="005C3E5E">
        <w:rPr>
          <w:rFonts w:ascii="Arial" w:hAnsi="Arial"/>
          <w:szCs w:val="24"/>
        </w:rPr>
        <w:t xml:space="preserve"> the Constitutional Court observed:</w:t>
      </w:r>
    </w:p>
    <w:p w:rsidR="005C3E5E" w:rsidRDefault="005C3E5E" w:rsidP="005C3E5E">
      <w:pPr>
        <w:pStyle w:val="ClaireNew"/>
        <w:numPr>
          <w:ilvl w:val="0"/>
          <w:numId w:val="0"/>
        </w:numPr>
        <w:spacing w:before="240" w:after="120"/>
        <w:ind w:left="1440"/>
        <w:rPr>
          <w:rFonts w:ascii="Arial" w:hAnsi="Arial"/>
          <w:szCs w:val="24"/>
        </w:rPr>
      </w:pPr>
      <w:r>
        <w:rPr>
          <w:rFonts w:ascii="Arial" w:hAnsi="Arial"/>
          <w:szCs w:val="24"/>
        </w:rPr>
        <w:t>‘</w:t>
      </w:r>
      <w:r w:rsidRPr="005C3E5E">
        <w:rPr>
          <w:rFonts w:ascii="Arial" w:hAnsi="Arial"/>
          <w:sz w:val="22"/>
          <w:szCs w:val="22"/>
        </w:rPr>
        <w:t xml:space="preserve">Collective bargaining is based on the recognition of the fact that employers enjoy greater social and economic power than individual workers. Workers therefore need to act in concert to provide them collectively with sufficient power to bargain </w:t>
      </w:r>
      <w:r w:rsidR="008A2242">
        <w:rPr>
          <w:rFonts w:ascii="Arial" w:hAnsi="Arial"/>
          <w:sz w:val="22"/>
          <w:szCs w:val="22"/>
        </w:rPr>
        <w:lastRenderedPageBreak/>
        <w:t>effectively with employer</w:t>
      </w:r>
      <w:r w:rsidRPr="005C3E5E">
        <w:rPr>
          <w:rFonts w:ascii="Arial" w:hAnsi="Arial"/>
          <w:sz w:val="22"/>
          <w:szCs w:val="22"/>
        </w:rPr>
        <w:t>s. Workers exercise collective power primarily through the mechanism of strike action.’</w:t>
      </w:r>
    </w:p>
    <w:p w:rsidR="00BA1E52" w:rsidRDefault="005C3E5E" w:rsidP="008A2242">
      <w:pPr>
        <w:pStyle w:val="ClaireNew"/>
        <w:numPr>
          <w:ilvl w:val="0"/>
          <w:numId w:val="0"/>
        </w:numPr>
        <w:spacing w:before="240" w:after="120"/>
        <w:ind w:left="720"/>
        <w:rPr>
          <w:rFonts w:ascii="Arial" w:hAnsi="Arial"/>
          <w:szCs w:val="24"/>
        </w:rPr>
      </w:pPr>
      <w:r>
        <w:rPr>
          <w:rFonts w:ascii="Arial" w:hAnsi="Arial"/>
          <w:szCs w:val="24"/>
        </w:rPr>
        <w:t xml:space="preserve">Later, in </w:t>
      </w:r>
      <w:r w:rsidRPr="005C3E5E">
        <w:rPr>
          <w:rFonts w:ascii="Arial" w:hAnsi="Arial"/>
          <w:i/>
          <w:szCs w:val="24"/>
        </w:rPr>
        <w:t xml:space="preserve">NUMSA &amp; others v </w:t>
      </w:r>
      <w:r w:rsidR="00722477" w:rsidRPr="005C3E5E">
        <w:rPr>
          <w:rFonts w:ascii="Arial" w:hAnsi="Arial"/>
          <w:i/>
          <w:szCs w:val="24"/>
        </w:rPr>
        <w:t>Bader Bop</w:t>
      </w:r>
      <w:r w:rsidRPr="005C3E5E">
        <w:rPr>
          <w:rFonts w:ascii="Arial" w:hAnsi="Arial"/>
          <w:i/>
          <w:szCs w:val="24"/>
        </w:rPr>
        <w:t xml:space="preserve"> &amp; another</w:t>
      </w:r>
      <w:r>
        <w:rPr>
          <w:rFonts w:ascii="Arial" w:hAnsi="Arial"/>
          <w:szCs w:val="24"/>
        </w:rPr>
        <w:t>,</w:t>
      </w:r>
      <w:r>
        <w:rPr>
          <w:rStyle w:val="FootnoteReference"/>
          <w:rFonts w:ascii="Arial" w:hAnsi="Arial"/>
          <w:szCs w:val="24"/>
        </w:rPr>
        <w:footnoteReference w:id="21"/>
      </w:r>
      <w:r>
        <w:rPr>
          <w:rFonts w:ascii="Arial" w:hAnsi="Arial"/>
          <w:szCs w:val="24"/>
        </w:rPr>
        <w:t xml:space="preserve"> the same court</w:t>
      </w:r>
      <w:r w:rsidR="00722477">
        <w:rPr>
          <w:rFonts w:ascii="Arial" w:hAnsi="Arial"/>
          <w:szCs w:val="24"/>
        </w:rPr>
        <w:t xml:space="preserve"> observed:</w:t>
      </w:r>
    </w:p>
    <w:p w:rsidR="00BA1E52" w:rsidRPr="0070236A" w:rsidRDefault="0070236A" w:rsidP="00BA1E52">
      <w:pPr>
        <w:pStyle w:val="ClaireNew"/>
        <w:numPr>
          <w:ilvl w:val="0"/>
          <w:numId w:val="0"/>
        </w:numPr>
        <w:spacing w:before="240" w:after="120"/>
        <w:ind w:left="1440"/>
        <w:rPr>
          <w:rFonts w:ascii="Arial" w:hAnsi="Arial"/>
          <w:sz w:val="22"/>
          <w:szCs w:val="22"/>
        </w:rPr>
      </w:pPr>
      <w:r>
        <w:rPr>
          <w:rFonts w:ascii="Arial" w:hAnsi="Arial"/>
          <w:szCs w:val="24"/>
        </w:rPr>
        <w:t>‘</w:t>
      </w:r>
      <w:r w:rsidR="00BA1E52" w:rsidRPr="0070236A">
        <w:rPr>
          <w:rFonts w:ascii="Arial" w:hAnsi="Arial"/>
          <w:sz w:val="22"/>
          <w:szCs w:val="22"/>
        </w:rPr>
        <w:t>That right</w:t>
      </w:r>
      <w:r w:rsidRPr="0070236A">
        <w:rPr>
          <w:rFonts w:ascii="Arial" w:hAnsi="Arial"/>
          <w:sz w:val="22"/>
          <w:szCs w:val="22"/>
        </w:rPr>
        <w:t xml:space="preserve"> [the right to strike] </w:t>
      </w:r>
      <w:r w:rsidR="00BA1E52" w:rsidRPr="0070236A">
        <w:rPr>
          <w:rFonts w:ascii="Arial" w:hAnsi="Arial"/>
          <w:sz w:val="22"/>
          <w:szCs w:val="22"/>
        </w:rPr>
        <w:t xml:space="preserve">is both of historical and contemporaneous significance. In the first place, it is of importance for the dignity of workers who in our constitutional order may not be treated as closed employees. Secondly it is through industrial action that workers are able to assert bargaining </w:t>
      </w:r>
      <w:r w:rsidR="00D96097">
        <w:rPr>
          <w:rFonts w:ascii="Arial" w:hAnsi="Arial"/>
          <w:sz w:val="22"/>
          <w:szCs w:val="22"/>
        </w:rPr>
        <w:t>power in industrial relations. The r</w:t>
      </w:r>
      <w:r w:rsidR="00BA1E52" w:rsidRPr="0070236A">
        <w:rPr>
          <w:rFonts w:ascii="Arial" w:hAnsi="Arial"/>
          <w:sz w:val="22"/>
          <w:szCs w:val="22"/>
        </w:rPr>
        <w:t>ight to strike is an important component of a successful collective bargaining system. In interpreting the rights in section 23, therefore, the importance of those rights in promoting a fair working environment must be understood. It is also important to comprehend the dynamic nature of the wage work bargain and the context within which it takes place.</w:t>
      </w:r>
    </w:p>
    <w:p w:rsidR="00BA1E52" w:rsidRDefault="00BA1E52" w:rsidP="00A826E5">
      <w:pPr>
        <w:pStyle w:val="ClaireNew"/>
        <w:numPr>
          <w:ilvl w:val="0"/>
          <w:numId w:val="0"/>
        </w:numPr>
        <w:spacing w:before="240" w:after="120"/>
        <w:ind w:left="720" w:hanging="720"/>
        <w:rPr>
          <w:rFonts w:ascii="Arial" w:hAnsi="Arial"/>
          <w:szCs w:val="24"/>
        </w:rPr>
      </w:pPr>
      <w:r>
        <w:rPr>
          <w:rFonts w:ascii="Arial" w:hAnsi="Arial"/>
          <w:szCs w:val="24"/>
        </w:rPr>
        <w:t xml:space="preserve"> </w:t>
      </w:r>
      <w:r w:rsidR="002774F5">
        <w:rPr>
          <w:rFonts w:ascii="Arial" w:hAnsi="Arial"/>
          <w:szCs w:val="24"/>
        </w:rPr>
        <w:t>[50</w:t>
      </w:r>
      <w:r w:rsidR="00B61886">
        <w:rPr>
          <w:rFonts w:ascii="Arial" w:hAnsi="Arial"/>
          <w:szCs w:val="24"/>
        </w:rPr>
        <w:t>]</w:t>
      </w:r>
      <w:r w:rsidR="00B61886">
        <w:rPr>
          <w:rFonts w:ascii="Arial" w:hAnsi="Arial"/>
          <w:szCs w:val="24"/>
        </w:rPr>
        <w:tab/>
      </w:r>
      <w:r w:rsidR="004B0E23">
        <w:rPr>
          <w:rFonts w:ascii="Arial" w:hAnsi="Arial"/>
          <w:szCs w:val="24"/>
        </w:rPr>
        <w:t>However, i</w:t>
      </w:r>
      <w:r>
        <w:rPr>
          <w:rFonts w:ascii="Arial" w:hAnsi="Arial"/>
          <w:szCs w:val="24"/>
        </w:rPr>
        <w:t>n th</w:t>
      </w:r>
      <w:r w:rsidR="0070236A">
        <w:rPr>
          <w:rFonts w:ascii="Arial" w:hAnsi="Arial"/>
          <w:szCs w:val="24"/>
        </w:rPr>
        <w:t xml:space="preserve">e scheme of the LRA and s </w:t>
      </w:r>
      <w:r w:rsidR="003146EE">
        <w:rPr>
          <w:rFonts w:ascii="Arial" w:hAnsi="Arial"/>
          <w:szCs w:val="24"/>
        </w:rPr>
        <w:t>23 of the C</w:t>
      </w:r>
      <w:r>
        <w:rPr>
          <w:rFonts w:ascii="Arial" w:hAnsi="Arial"/>
          <w:szCs w:val="24"/>
        </w:rPr>
        <w:t>onstitution, the right to st</w:t>
      </w:r>
      <w:r w:rsidR="00AC1948">
        <w:rPr>
          <w:rFonts w:ascii="Arial" w:hAnsi="Arial"/>
          <w:szCs w:val="24"/>
        </w:rPr>
        <w:t xml:space="preserve">rike is </w:t>
      </w:r>
      <w:r w:rsidR="00722477">
        <w:rPr>
          <w:rFonts w:ascii="Arial" w:hAnsi="Arial"/>
          <w:szCs w:val="24"/>
        </w:rPr>
        <w:t>by its</w:t>
      </w:r>
      <w:r w:rsidR="004B0E23">
        <w:rPr>
          <w:rFonts w:ascii="Arial" w:hAnsi="Arial"/>
          <w:szCs w:val="24"/>
        </w:rPr>
        <w:t xml:space="preserve"> nature</w:t>
      </w:r>
      <w:r>
        <w:rPr>
          <w:rFonts w:ascii="Arial" w:hAnsi="Arial"/>
          <w:szCs w:val="24"/>
        </w:rPr>
        <w:t xml:space="preserve"> not absolute and which may justifiably be limited in certain situations. This must be so because</w:t>
      </w:r>
      <w:r w:rsidR="00B83EE9">
        <w:rPr>
          <w:rFonts w:ascii="Arial" w:hAnsi="Arial"/>
          <w:szCs w:val="24"/>
        </w:rPr>
        <w:t xml:space="preserve"> a strike is not an end in itself. Rather, a s</w:t>
      </w:r>
      <w:r w:rsidR="00D96097">
        <w:rPr>
          <w:rFonts w:ascii="Arial" w:hAnsi="Arial"/>
          <w:szCs w:val="24"/>
        </w:rPr>
        <w:t>trike is primarily a means to the</w:t>
      </w:r>
      <w:r w:rsidR="00B83EE9">
        <w:rPr>
          <w:rFonts w:ascii="Arial" w:hAnsi="Arial"/>
          <w:szCs w:val="24"/>
        </w:rPr>
        <w:t xml:space="preserve"> end</w:t>
      </w:r>
      <w:r w:rsidR="00D96097">
        <w:rPr>
          <w:rFonts w:ascii="Arial" w:hAnsi="Arial"/>
          <w:szCs w:val="24"/>
        </w:rPr>
        <w:t xml:space="preserve"> of</w:t>
      </w:r>
      <w:r w:rsidR="00722477">
        <w:rPr>
          <w:rFonts w:ascii="Arial" w:hAnsi="Arial"/>
          <w:szCs w:val="24"/>
        </w:rPr>
        <w:t xml:space="preserve"> </w:t>
      </w:r>
      <w:r w:rsidR="00B83EE9">
        <w:rPr>
          <w:rFonts w:ascii="Arial" w:hAnsi="Arial"/>
          <w:szCs w:val="24"/>
        </w:rPr>
        <w:t xml:space="preserve">an effective collective bargaining system in which workers are able </w:t>
      </w:r>
      <w:r w:rsidR="00D96097">
        <w:rPr>
          <w:rFonts w:ascii="Arial" w:hAnsi="Arial"/>
          <w:szCs w:val="24"/>
        </w:rPr>
        <w:t xml:space="preserve">ultimately </w:t>
      </w:r>
      <w:r w:rsidR="00B83EE9">
        <w:rPr>
          <w:rFonts w:ascii="Arial" w:hAnsi="Arial"/>
          <w:szCs w:val="24"/>
        </w:rPr>
        <w:t>to exercise power in order to influence the terms and conditions of employment.</w:t>
      </w:r>
      <w:r w:rsidR="00722477">
        <w:rPr>
          <w:rFonts w:ascii="Arial" w:hAnsi="Arial"/>
          <w:szCs w:val="24"/>
        </w:rPr>
        <w:t xml:space="preserve"> </w:t>
      </w:r>
      <w:r w:rsidR="004B0E23">
        <w:rPr>
          <w:rFonts w:ascii="Arial" w:hAnsi="Arial"/>
          <w:szCs w:val="24"/>
        </w:rPr>
        <w:t xml:space="preserve">All of the parties to the present proceedings accept this proposition. The issue is whether the limitation on the right to strike established by s 23 (1) (d) read with s 65 (1) (a) and the definition of ‘workplace’ is reasonable and justifiable. </w:t>
      </w:r>
    </w:p>
    <w:p w:rsidR="004B0E23" w:rsidRDefault="002774F5" w:rsidP="004B0E23">
      <w:pPr>
        <w:spacing w:line="360" w:lineRule="auto"/>
        <w:ind w:left="720" w:hanging="720"/>
        <w:jc w:val="both"/>
        <w:rPr>
          <w:rFonts w:ascii="Arial" w:hAnsi="Arial" w:cs="Arial"/>
          <w:sz w:val="24"/>
          <w:szCs w:val="24"/>
        </w:rPr>
      </w:pPr>
      <w:r>
        <w:rPr>
          <w:rFonts w:ascii="Arial" w:hAnsi="Arial" w:cs="Arial"/>
          <w:sz w:val="24"/>
          <w:szCs w:val="24"/>
        </w:rPr>
        <w:t>[51</w:t>
      </w:r>
      <w:r w:rsidR="004B0E23" w:rsidRPr="00055564">
        <w:rPr>
          <w:rFonts w:ascii="Arial" w:hAnsi="Arial" w:cs="Arial"/>
          <w:sz w:val="24"/>
          <w:szCs w:val="24"/>
        </w:rPr>
        <w:t>]</w:t>
      </w:r>
      <w:r w:rsidR="004B0E23" w:rsidRPr="00055564">
        <w:rPr>
          <w:rFonts w:ascii="Arial" w:hAnsi="Arial" w:cs="Arial"/>
          <w:sz w:val="24"/>
          <w:szCs w:val="24"/>
        </w:rPr>
        <w:tab/>
      </w:r>
      <w:r w:rsidR="004B0E23">
        <w:rPr>
          <w:rFonts w:ascii="Arial" w:hAnsi="Arial" w:cs="Arial"/>
          <w:sz w:val="24"/>
          <w:szCs w:val="24"/>
        </w:rPr>
        <w:t>Section 36 of the Constitution provides:</w:t>
      </w:r>
    </w:p>
    <w:p w:rsidR="004B0E23" w:rsidRPr="006F0C38" w:rsidRDefault="004B0E23" w:rsidP="004B0E23">
      <w:pPr>
        <w:spacing w:line="360" w:lineRule="auto"/>
        <w:ind w:left="2160" w:hanging="720"/>
        <w:jc w:val="both"/>
        <w:rPr>
          <w:rFonts w:ascii="Arial" w:hAnsi="Arial" w:cs="Arial"/>
        </w:rPr>
      </w:pPr>
      <w:r>
        <w:rPr>
          <w:rFonts w:ascii="Arial" w:hAnsi="Arial" w:cs="Arial"/>
          <w:sz w:val="24"/>
          <w:szCs w:val="24"/>
        </w:rPr>
        <w:t>‘</w:t>
      </w:r>
      <w:r w:rsidRPr="006F0C38">
        <w:rPr>
          <w:rFonts w:ascii="Arial" w:hAnsi="Arial" w:cs="Arial"/>
        </w:rPr>
        <w:t>1.</w:t>
      </w:r>
      <w:r w:rsidRPr="006F0C38">
        <w:rPr>
          <w:rFonts w:ascii="Arial" w:hAnsi="Arial" w:cs="Arial"/>
        </w:rPr>
        <w:tab/>
        <w:t xml:space="preserve">The rights in the Bill of Rights may be limited only in terms of the law of general application to the extent that the limitation is reasonable and justifiable in an open and democratic society based on human dignity, equality and freedom, taking into account all relevant factors, including – </w:t>
      </w:r>
    </w:p>
    <w:p w:rsidR="004B0E23" w:rsidRPr="006F0C38" w:rsidRDefault="004B0E23" w:rsidP="004B0E23">
      <w:pPr>
        <w:pStyle w:val="ListParagraph"/>
        <w:numPr>
          <w:ilvl w:val="0"/>
          <w:numId w:val="9"/>
        </w:numPr>
        <w:spacing w:line="360" w:lineRule="auto"/>
        <w:jc w:val="both"/>
        <w:rPr>
          <w:rFonts w:ascii="Arial" w:hAnsi="Arial" w:cs="Arial"/>
        </w:rPr>
      </w:pPr>
      <w:r w:rsidRPr="006F0C38">
        <w:rPr>
          <w:rFonts w:ascii="Arial" w:hAnsi="Arial" w:cs="Arial"/>
        </w:rPr>
        <w:t>the nature of the right;</w:t>
      </w:r>
    </w:p>
    <w:p w:rsidR="004B0E23" w:rsidRPr="006F0C38" w:rsidRDefault="004B0E23" w:rsidP="004B0E23">
      <w:pPr>
        <w:pStyle w:val="ListParagraph"/>
        <w:numPr>
          <w:ilvl w:val="0"/>
          <w:numId w:val="9"/>
        </w:numPr>
        <w:spacing w:line="360" w:lineRule="auto"/>
        <w:jc w:val="both"/>
        <w:rPr>
          <w:rFonts w:ascii="Arial" w:hAnsi="Arial" w:cs="Arial"/>
        </w:rPr>
      </w:pPr>
      <w:r w:rsidRPr="006F0C38">
        <w:rPr>
          <w:rFonts w:ascii="Arial" w:hAnsi="Arial" w:cs="Arial"/>
        </w:rPr>
        <w:t>the importance of the purpose of the limitation;</w:t>
      </w:r>
    </w:p>
    <w:p w:rsidR="004B0E23" w:rsidRPr="006F0C38" w:rsidRDefault="004B0E23" w:rsidP="004B0E23">
      <w:pPr>
        <w:pStyle w:val="ListParagraph"/>
        <w:numPr>
          <w:ilvl w:val="0"/>
          <w:numId w:val="9"/>
        </w:numPr>
        <w:spacing w:line="360" w:lineRule="auto"/>
        <w:jc w:val="both"/>
        <w:rPr>
          <w:rFonts w:ascii="Arial" w:hAnsi="Arial" w:cs="Arial"/>
        </w:rPr>
      </w:pPr>
      <w:r w:rsidRPr="006F0C38">
        <w:rPr>
          <w:rFonts w:ascii="Arial" w:hAnsi="Arial" w:cs="Arial"/>
        </w:rPr>
        <w:lastRenderedPageBreak/>
        <w:t>the nature and extent of the limitation;</w:t>
      </w:r>
    </w:p>
    <w:p w:rsidR="004B0E23" w:rsidRPr="006F0C38" w:rsidRDefault="004B0E23" w:rsidP="004B0E23">
      <w:pPr>
        <w:pStyle w:val="ListParagraph"/>
        <w:numPr>
          <w:ilvl w:val="0"/>
          <w:numId w:val="9"/>
        </w:numPr>
        <w:spacing w:line="360" w:lineRule="auto"/>
        <w:jc w:val="both"/>
        <w:rPr>
          <w:rFonts w:ascii="Arial" w:hAnsi="Arial" w:cs="Arial"/>
        </w:rPr>
      </w:pPr>
      <w:r w:rsidRPr="006F0C38">
        <w:rPr>
          <w:rFonts w:ascii="Arial" w:hAnsi="Arial" w:cs="Arial"/>
        </w:rPr>
        <w:t>the relation between the limitation and its purpose; and</w:t>
      </w:r>
    </w:p>
    <w:p w:rsidR="004B0E23" w:rsidRPr="006F0C38" w:rsidRDefault="004B0E23" w:rsidP="004B0E23">
      <w:pPr>
        <w:pStyle w:val="ListParagraph"/>
        <w:numPr>
          <w:ilvl w:val="0"/>
          <w:numId w:val="9"/>
        </w:numPr>
        <w:spacing w:line="360" w:lineRule="auto"/>
        <w:jc w:val="both"/>
        <w:rPr>
          <w:rFonts w:ascii="Arial" w:hAnsi="Arial" w:cs="Arial"/>
        </w:rPr>
      </w:pPr>
      <w:r w:rsidRPr="006F0C38">
        <w:rPr>
          <w:rFonts w:ascii="Arial" w:hAnsi="Arial" w:cs="Arial"/>
        </w:rPr>
        <w:t>less restrictive means to achieve the purpose.</w:t>
      </w:r>
    </w:p>
    <w:p w:rsidR="004B0E23" w:rsidRDefault="004B0E23" w:rsidP="004B0E23">
      <w:pPr>
        <w:spacing w:line="360" w:lineRule="auto"/>
        <w:ind w:left="2160" w:hanging="720"/>
        <w:jc w:val="both"/>
        <w:rPr>
          <w:rFonts w:ascii="Arial" w:hAnsi="Arial"/>
          <w:szCs w:val="24"/>
        </w:rPr>
      </w:pPr>
      <w:r w:rsidRPr="006F0C38">
        <w:rPr>
          <w:rFonts w:ascii="Arial" w:hAnsi="Arial" w:cs="Arial"/>
        </w:rPr>
        <w:t>2.</w:t>
      </w:r>
      <w:r w:rsidRPr="006F0C38">
        <w:rPr>
          <w:rFonts w:ascii="Arial" w:hAnsi="Arial" w:cs="Arial"/>
        </w:rPr>
        <w:tab/>
        <w:t>Except as provided for in subsection (1) or in any other provision of the constitution, no law may limit any right entrenched in the Bill of Rights.</w:t>
      </w:r>
    </w:p>
    <w:p w:rsidR="00D96097" w:rsidRDefault="002774F5" w:rsidP="00A826E5">
      <w:pPr>
        <w:pStyle w:val="ClaireNew"/>
        <w:numPr>
          <w:ilvl w:val="0"/>
          <w:numId w:val="0"/>
        </w:numPr>
        <w:spacing w:before="240" w:after="120"/>
        <w:ind w:left="720" w:hanging="720"/>
        <w:rPr>
          <w:rFonts w:ascii="Arial" w:hAnsi="Arial"/>
          <w:szCs w:val="24"/>
        </w:rPr>
      </w:pPr>
      <w:r>
        <w:rPr>
          <w:rFonts w:ascii="Arial" w:hAnsi="Arial"/>
          <w:szCs w:val="24"/>
        </w:rPr>
        <w:t>[52</w:t>
      </w:r>
      <w:r w:rsidR="00D96097">
        <w:rPr>
          <w:rFonts w:ascii="Arial" w:hAnsi="Arial"/>
          <w:szCs w:val="24"/>
        </w:rPr>
        <w:t>]</w:t>
      </w:r>
      <w:r w:rsidR="00D96097">
        <w:rPr>
          <w:rFonts w:ascii="Arial" w:hAnsi="Arial"/>
          <w:szCs w:val="24"/>
        </w:rPr>
        <w:tab/>
        <w:t xml:space="preserve">In </w:t>
      </w:r>
      <w:r w:rsidR="00D96097" w:rsidRPr="00D96097">
        <w:rPr>
          <w:rFonts w:ascii="Arial" w:hAnsi="Arial"/>
          <w:i/>
          <w:szCs w:val="24"/>
        </w:rPr>
        <w:t>Bader Bop</w:t>
      </w:r>
      <w:r w:rsidR="00D96097">
        <w:rPr>
          <w:rFonts w:ascii="Arial" w:hAnsi="Arial"/>
          <w:szCs w:val="24"/>
        </w:rPr>
        <w:t xml:space="preserve"> the court said:</w:t>
      </w:r>
    </w:p>
    <w:p w:rsidR="00D96097" w:rsidRPr="00EC6FAA" w:rsidRDefault="00D96097" w:rsidP="00EC6FAA">
      <w:pPr>
        <w:pStyle w:val="ClaireNew"/>
        <w:numPr>
          <w:ilvl w:val="0"/>
          <w:numId w:val="0"/>
        </w:numPr>
        <w:spacing w:before="240" w:after="120"/>
        <w:ind w:left="1440"/>
        <w:rPr>
          <w:rFonts w:ascii="Arial" w:hAnsi="Arial"/>
          <w:szCs w:val="24"/>
        </w:rPr>
      </w:pPr>
      <w:r>
        <w:rPr>
          <w:rFonts w:ascii="Arial" w:hAnsi="Arial"/>
          <w:szCs w:val="24"/>
        </w:rPr>
        <w:t>‘</w:t>
      </w:r>
      <w:r>
        <w:rPr>
          <w:rFonts w:ascii="Arial" w:hAnsi="Arial"/>
          <w:sz w:val="22"/>
          <w:szCs w:val="22"/>
        </w:rPr>
        <w:t>The first question that arises is whether the Act is capable of being interpreted in the manner contended for by the a</w:t>
      </w:r>
      <w:r w:rsidR="00EC6FAA">
        <w:rPr>
          <w:rFonts w:ascii="Arial" w:hAnsi="Arial"/>
          <w:sz w:val="22"/>
          <w:szCs w:val="22"/>
        </w:rPr>
        <w:t>p</w:t>
      </w:r>
      <w:r>
        <w:rPr>
          <w:rFonts w:ascii="Arial" w:hAnsi="Arial"/>
          <w:sz w:val="22"/>
          <w:szCs w:val="22"/>
        </w:rPr>
        <w:t xml:space="preserve">plicants, or whether it is only capable of being read as the respondents and the majority judgment in the LAC suggest. If it is </w:t>
      </w:r>
      <w:r w:rsidR="00EC6FAA">
        <w:rPr>
          <w:rFonts w:ascii="Arial" w:hAnsi="Arial"/>
          <w:sz w:val="22"/>
          <w:szCs w:val="22"/>
        </w:rPr>
        <w:t>capable</w:t>
      </w:r>
      <w:r>
        <w:rPr>
          <w:rFonts w:ascii="Arial" w:hAnsi="Arial"/>
          <w:sz w:val="22"/>
          <w:szCs w:val="22"/>
        </w:rPr>
        <w:t xml:space="preserve"> of a broader interpretation</w:t>
      </w:r>
      <w:r w:rsidR="00EC6FAA">
        <w:rPr>
          <w:rFonts w:ascii="Arial" w:hAnsi="Arial"/>
          <w:sz w:val="22"/>
          <w:szCs w:val="22"/>
        </w:rPr>
        <w:t xml:space="preserve"> that doe</w:t>
      </w:r>
      <w:r>
        <w:rPr>
          <w:rFonts w:ascii="Arial" w:hAnsi="Arial"/>
          <w:sz w:val="22"/>
          <w:szCs w:val="22"/>
        </w:rPr>
        <w:t xml:space="preserve">s not limit </w:t>
      </w:r>
      <w:r w:rsidR="00EC6FAA">
        <w:rPr>
          <w:rFonts w:ascii="Arial" w:hAnsi="Arial"/>
          <w:sz w:val="22"/>
          <w:szCs w:val="22"/>
        </w:rPr>
        <w:t>fundamental</w:t>
      </w:r>
      <w:r>
        <w:rPr>
          <w:rFonts w:ascii="Arial" w:hAnsi="Arial"/>
          <w:sz w:val="22"/>
          <w:szCs w:val="22"/>
        </w:rPr>
        <w:t xml:space="preserve"> rights, that interpretation should be preferred. </w:t>
      </w:r>
      <w:r w:rsidRPr="001F4E05">
        <w:rPr>
          <w:rFonts w:ascii="Arial" w:hAnsi="Arial"/>
          <w:i/>
          <w:sz w:val="22"/>
          <w:szCs w:val="22"/>
        </w:rPr>
        <w:t xml:space="preserve">This is not to say that where the legislature intends legislation to </w:t>
      </w:r>
      <w:r w:rsidR="00EC6FAA" w:rsidRPr="001F4E05">
        <w:rPr>
          <w:rFonts w:ascii="Arial" w:hAnsi="Arial"/>
          <w:i/>
          <w:sz w:val="22"/>
          <w:szCs w:val="22"/>
        </w:rPr>
        <w:t>limit</w:t>
      </w:r>
      <w:r w:rsidRPr="001F4E05">
        <w:rPr>
          <w:rFonts w:ascii="Arial" w:hAnsi="Arial"/>
          <w:i/>
          <w:sz w:val="22"/>
          <w:szCs w:val="22"/>
        </w:rPr>
        <w:t xml:space="preserve"> rights</w:t>
      </w:r>
      <w:r w:rsidR="00EC6FAA" w:rsidRPr="001F4E05">
        <w:rPr>
          <w:rFonts w:ascii="Arial" w:hAnsi="Arial"/>
          <w:i/>
          <w:sz w:val="22"/>
          <w:szCs w:val="22"/>
        </w:rPr>
        <w:t>, and where that legislation does so clearly but justifiably, such an interpretation should not be preferred in order to give effect to the clear intention of the democratic will of Parliament.</w:t>
      </w:r>
      <w:r w:rsidR="00EC6FAA">
        <w:rPr>
          <w:rFonts w:ascii="Arial" w:hAnsi="Arial"/>
          <w:sz w:val="22"/>
          <w:szCs w:val="22"/>
        </w:rPr>
        <w:t xml:space="preserve"> </w:t>
      </w:r>
      <w:r w:rsidR="00EC6FAA" w:rsidRPr="004B0E23">
        <w:rPr>
          <w:rFonts w:ascii="Arial" w:hAnsi="Arial"/>
          <w:i/>
          <w:sz w:val="22"/>
          <w:szCs w:val="22"/>
        </w:rPr>
        <w:t>If that were to be done, however, we would have to be persuaded by careful and thorough argument that such an interpretation was indeed the proper interpretation and that any limitation caused was justifiable as contemplated by section 36 of the Constitution</w:t>
      </w:r>
      <w:r w:rsidR="001F4E05">
        <w:rPr>
          <w:rFonts w:ascii="Arial" w:hAnsi="Arial"/>
          <w:sz w:val="22"/>
          <w:szCs w:val="22"/>
        </w:rPr>
        <w:t xml:space="preserve"> (own emphasis)</w:t>
      </w:r>
      <w:r w:rsidR="00EC6FAA">
        <w:rPr>
          <w:rFonts w:ascii="Arial" w:hAnsi="Arial"/>
          <w:sz w:val="22"/>
          <w:szCs w:val="22"/>
        </w:rPr>
        <w:t>.</w:t>
      </w:r>
      <w:r w:rsidR="00EC6FAA">
        <w:rPr>
          <w:rStyle w:val="FootnoteReference"/>
          <w:rFonts w:ascii="Arial" w:hAnsi="Arial"/>
          <w:sz w:val="22"/>
          <w:szCs w:val="22"/>
        </w:rPr>
        <w:footnoteReference w:id="22"/>
      </w:r>
    </w:p>
    <w:p w:rsidR="006F0C38" w:rsidRDefault="004B0E23" w:rsidP="003146EE">
      <w:pPr>
        <w:spacing w:line="360" w:lineRule="auto"/>
        <w:ind w:left="720" w:hanging="720"/>
        <w:jc w:val="both"/>
        <w:rPr>
          <w:rFonts w:ascii="Arial" w:hAnsi="Arial" w:cs="Arial"/>
          <w:sz w:val="24"/>
          <w:szCs w:val="24"/>
        </w:rPr>
      </w:pPr>
      <w:r>
        <w:rPr>
          <w:rFonts w:ascii="Arial" w:hAnsi="Arial" w:cs="Arial"/>
          <w:sz w:val="24"/>
          <w:szCs w:val="24"/>
        </w:rPr>
        <w:t xml:space="preserve"> </w:t>
      </w:r>
      <w:r w:rsidR="002774F5">
        <w:rPr>
          <w:rFonts w:ascii="Arial" w:hAnsi="Arial" w:cs="Arial"/>
          <w:sz w:val="24"/>
          <w:szCs w:val="24"/>
        </w:rPr>
        <w:t>[53</w:t>
      </w:r>
      <w:r w:rsidR="003146EE">
        <w:rPr>
          <w:rFonts w:ascii="Arial" w:hAnsi="Arial" w:cs="Arial"/>
          <w:sz w:val="24"/>
          <w:szCs w:val="24"/>
        </w:rPr>
        <w:t>]</w:t>
      </w:r>
      <w:r w:rsidR="003146EE">
        <w:rPr>
          <w:rFonts w:ascii="Arial" w:hAnsi="Arial" w:cs="Arial"/>
          <w:sz w:val="24"/>
          <w:szCs w:val="24"/>
        </w:rPr>
        <w:tab/>
      </w:r>
      <w:r w:rsidR="00965A71">
        <w:rPr>
          <w:rFonts w:ascii="Arial" w:hAnsi="Arial" w:cs="Arial"/>
          <w:sz w:val="24"/>
          <w:szCs w:val="24"/>
        </w:rPr>
        <w:t>In pra</w:t>
      </w:r>
      <w:r>
        <w:rPr>
          <w:rFonts w:ascii="Arial" w:hAnsi="Arial" w:cs="Arial"/>
          <w:sz w:val="24"/>
          <w:szCs w:val="24"/>
        </w:rPr>
        <w:t>ctical application, s 36</w:t>
      </w:r>
      <w:r w:rsidR="00965A71">
        <w:rPr>
          <w:rFonts w:ascii="Arial" w:hAnsi="Arial" w:cs="Arial"/>
          <w:sz w:val="24"/>
          <w:szCs w:val="24"/>
        </w:rPr>
        <w:t xml:space="preserve"> requires, without adopting a mechanical ‘checklist’ approach, a consideration first of the purpose of the provision that limit</w:t>
      </w:r>
      <w:r w:rsidR="008A2242">
        <w:rPr>
          <w:rFonts w:ascii="Arial" w:hAnsi="Arial" w:cs="Arial"/>
          <w:sz w:val="24"/>
          <w:szCs w:val="24"/>
        </w:rPr>
        <w:t>s a right in the Bill of Rights</w:t>
      </w:r>
      <w:r w:rsidR="00965A71">
        <w:rPr>
          <w:rFonts w:ascii="Arial" w:hAnsi="Arial" w:cs="Arial"/>
          <w:sz w:val="24"/>
          <w:szCs w:val="24"/>
        </w:rPr>
        <w:t xml:space="preserve"> and secondly, a consideration of the impact of the law on the affected right. The first consideration is one that requires the court to determine whether the law which limits a right serves a legitimate government purpose; the second is sometimes referred to as a ‘proportionality’ analysis. </w:t>
      </w:r>
      <w:r w:rsidR="006F0C38">
        <w:rPr>
          <w:rFonts w:ascii="Arial" w:hAnsi="Arial" w:cs="Arial"/>
          <w:sz w:val="24"/>
          <w:szCs w:val="24"/>
        </w:rPr>
        <w:t xml:space="preserve">In </w:t>
      </w:r>
      <w:r w:rsidR="006F0C38" w:rsidRPr="0006015E">
        <w:rPr>
          <w:rFonts w:ascii="Arial" w:hAnsi="Arial" w:cs="Arial"/>
          <w:i/>
          <w:sz w:val="24"/>
          <w:szCs w:val="24"/>
        </w:rPr>
        <w:t>S v</w:t>
      </w:r>
      <w:r w:rsidR="0006015E">
        <w:rPr>
          <w:rFonts w:ascii="Arial" w:hAnsi="Arial" w:cs="Arial"/>
          <w:i/>
          <w:sz w:val="24"/>
          <w:szCs w:val="24"/>
        </w:rPr>
        <w:t xml:space="preserve"> </w:t>
      </w:r>
      <w:r w:rsidR="006F0C38" w:rsidRPr="0006015E">
        <w:rPr>
          <w:rFonts w:ascii="Arial" w:hAnsi="Arial" w:cs="Arial"/>
          <w:i/>
          <w:sz w:val="24"/>
          <w:szCs w:val="24"/>
        </w:rPr>
        <w:t>Bulwana</w:t>
      </w:r>
      <w:r w:rsidR="00965A71">
        <w:rPr>
          <w:rFonts w:ascii="Arial" w:hAnsi="Arial" w:cs="Arial"/>
          <w:sz w:val="24"/>
          <w:szCs w:val="24"/>
        </w:rPr>
        <w:t xml:space="preserve"> the Constitutional Court</w:t>
      </w:r>
      <w:r w:rsidR="006F0C38">
        <w:rPr>
          <w:rFonts w:ascii="Arial" w:hAnsi="Arial" w:cs="Arial"/>
          <w:sz w:val="24"/>
          <w:szCs w:val="24"/>
        </w:rPr>
        <w:t xml:space="preserve"> su</w:t>
      </w:r>
      <w:r w:rsidR="00EC6FAA">
        <w:rPr>
          <w:rFonts w:ascii="Arial" w:hAnsi="Arial" w:cs="Arial"/>
          <w:sz w:val="24"/>
          <w:szCs w:val="24"/>
        </w:rPr>
        <w:t>mmed up the approach as follows</w:t>
      </w:r>
      <w:r w:rsidR="00965A71">
        <w:rPr>
          <w:rFonts w:ascii="Arial" w:hAnsi="Arial" w:cs="Arial"/>
          <w:sz w:val="24"/>
          <w:szCs w:val="24"/>
        </w:rPr>
        <w:t>:</w:t>
      </w:r>
      <w:r w:rsidR="006F0C38">
        <w:rPr>
          <w:rFonts w:ascii="Arial" w:hAnsi="Arial" w:cs="Arial"/>
          <w:sz w:val="24"/>
          <w:szCs w:val="24"/>
        </w:rPr>
        <w:t xml:space="preserve"> </w:t>
      </w:r>
    </w:p>
    <w:p w:rsidR="006F0C38" w:rsidRPr="006F0C38" w:rsidRDefault="00965A71" w:rsidP="006F0C38">
      <w:pPr>
        <w:spacing w:line="360" w:lineRule="auto"/>
        <w:ind w:left="1440"/>
        <w:jc w:val="both"/>
        <w:rPr>
          <w:rFonts w:ascii="Arial" w:hAnsi="Arial" w:cs="Arial"/>
        </w:rPr>
      </w:pPr>
      <w:r>
        <w:rPr>
          <w:rFonts w:ascii="Arial" w:hAnsi="Arial" w:cs="Arial"/>
        </w:rPr>
        <w:t>‘In sum, therefore, the C</w:t>
      </w:r>
      <w:r w:rsidR="00EC6FAA">
        <w:rPr>
          <w:rFonts w:ascii="Arial" w:hAnsi="Arial" w:cs="Arial"/>
        </w:rPr>
        <w:t>ourt places the purpose</w:t>
      </w:r>
      <w:r w:rsidR="006F0C38" w:rsidRPr="006F0C38">
        <w:rPr>
          <w:rFonts w:ascii="Arial" w:hAnsi="Arial" w:cs="Arial"/>
        </w:rPr>
        <w:t xml:space="preserve">, effects and importance of the infringing legislation on one side of the scales and the nature and effect of the infringement caused by the legislation on the other. The more substantial the </w:t>
      </w:r>
      <w:r w:rsidR="006F0C38" w:rsidRPr="006F0C38">
        <w:rPr>
          <w:rFonts w:ascii="Arial" w:hAnsi="Arial" w:cs="Arial"/>
        </w:rPr>
        <w:lastRenderedPageBreak/>
        <w:t>inroad into fundamental rights, the more persuasive the grounds of justification must be.’</w:t>
      </w:r>
      <w:r w:rsidR="006F0C38">
        <w:rPr>
          <w:rStyle w:val="FootnoteReference"/>
          <w:rFonts w:ascii="Arial" w:hAnsi="Arial" w:cs="Arial"/>
        </w:rPr>
        <w:footnoteReference w:id="23"/>
      </w:r>
    </w:p>
    <w:p w:rsidR="00356734" w:rsidRDefault="002774F5" w:rsidP="0006015E">
      <w:pPr>
        <w:spacing w:line="360" w:lineRule="auto"/>
        <w:ind w:left="720" w:hanging="720"/>
        <w:jc w:val="both"/>
        <w:rPr>
          <w:rFonts w:ascii="Arial" w:hAnsi="Arial" w:cs="Arial"/>
          <w:sz w:val="24"/>
          <w:szCs w:val="24"/>
        </w:rPr>
      </w:pPr>
      <w:r>
        <w:rPr>
          <w:rFonts w:ascii="Arial" w:hAnsi="Arial" w:cs="Arial"/>
          <w:sz w:val="24"/>
          <w:szCs w:val="24"/>
        </w:rPr>
        <w:t>[54</w:t>
      </w:r>
      <w:r w:rsidR="00D96097">
        <w:rPr>
          <w:rFonts w:ascii="Arial" w:hAnsi="Arial" w:cs="Arial"/>
          <w:sz w:val="24"/>
          <w:szCs w:val="24"/>
        </w:rPr>
        <w:t>]</w:t>
      </w:r>
      <w:r w:rsidR="00D96097">
        <w:rPr>
          <w:rFonts w:ascii="Arial" w:hAnsi="Arial" w:cs="Arial"/>
          <w:sz w:val="24"/>
          <w:szCs w:val="24"/>
        </w:rPr>
        <w:tab/>
      </w:r>
      <w:r w:rsidR="004B0E23">
        <w:rPr>
          <w:rFonts w:ascii="Arial" w:hAnsi="Arial" w:cs="Arial"/>
          <w:sz w:val="24"/>
          <w:szCs w:val="24"/>
        </w:rPr>
        <w:t>T</w:t>
      </w:r>
      <w:r w:rsidR="00356734">
        <w:rPr>
          <w:rFonts w:ascii="Arial" w:hAnsi="Arial" w:cs="Arial"/>
          <w:sz w:val="24"/>
          <w:szCs w:val="24"/>
        </w:rPr>
        <w:t>he limitations imposed by s 65 (1) (a) on the exercise of a right to strike arise in circumstances where a trade union, on behalf of its members, contracts out of the right to strike by entering into a collective agreement</w:t>
      </w:r>
      <w:r w:rsidR="004B0E23">
        <w:rPr>
          <w:rFonts w:ascii="Arial" w:hAnsi="Arial" w:cs="Arial"/>
          <w:sz w:val="24"/>
          <w:szCs w:val="24"/>
        </w:rPr>
        <w:t xml:space="preserve"> that prohibits a strike in respect of the issue in dispute</w:t>
      </w:r>
      <w:r w:rsidR="005752F6">
        <w:rPr>
          <w:rFonts w:ascii="Arial" w:hAnsi="Arial" w:cs="Arial"/>
          <w:sz w:val="24"/>
          <w:szCs w:val="24"/>
        </w:rPr>
        <w:t>. Similarly, s 65 (3</w:t>
      </w:r>
      <w:r w:rsidR="00356734">
        <w:rPr>
          <w:rFonts w:ascii="Arial" w:hAnsi="Arial" w:cs="Arial"/>
          <w:sz w:val="24"/>
          <w:szCs w:val="24"/>
        </w:rPr>
        <w:t>) (a) (i) has its roots in contracting out, in the sense that it prohibits</w:t>
      </w:r>
      <w:r w:rsidR="004B0E23">
        <w:rPr>
          <w:rFonts w:ascii="Arial" w:hAnsi="Arial" w:cs="Arial"/>
          <w:sz w:val="24"/>
          <w:szCs w:val="24"/>
        </w:rPr>
        <w:t xml:space="preserve"> strikes in circumstances where a binding collective agreement regulates the issue in dispute. </w:t>
      </w:r>
      <w:r w:rsidR="00356734">
        <w:rPr>
          <w:rFonts w:ascii="Arial" w:hAnsi="Arial" w:cs="Arial"/>
          <w:sz w:val="24"/>
          <w:szCs w:val="24"/>
        </w:rPr>
        <w:t>The justification for the right to strike in these circumstances</w:t>
      </w:r>
      <w:r w:rsidR="005752F6">
        <w:rPr>
          <w:rFonts w:ascii="Arial" w:hAnsi="Arial" w:cs="Arial"/>
          <w:sz w:val="24"/>
          <w:szCs w:val="24"/>
        </w:rPr>
        <w:t xml:space="preserve"> is obvious </w:t>
      </w:r>
      <w:r w:rsidR="00356734">
        <w:rPr>
          <w:rFonts w:ascii="Arial" w:hAnsi="Arial" w:cs="Arial"/>
          <w:sz w:val="24"/>
          <w:szCs w:val="24"/>
        </w:rPr>
        <w:t xml:space="preserve">and patently justifiable. </w:t>
      </w:r>
    </w:p>
    <w:p w:rsidR="00C97E0B" w:rsidRDefault="002774F5" w:rsidP="0006015E">
      <w:pPr>
        <w:spacing w:line="360" w:lineRule="auto"/>
        <w:ind w:left="720" w:hanging="720"/>
        <w:jc w:val="both"/>
        <w:rPr>
          <w:rFonts w:ascii="Arial" w:hAnsi="Arial" w:cs="Arial"/>
          <w:sz w:val="24"/>
          <w:szCs w:val="24"/>
        </w:rPr>
      </w:pPr>
      <w:r>
        <w:rPr>
          <w:rFonts w:ascii="Arial" w:hAnsi="Arial" w:cs="Arial"/>
          <w:sz w:val="24"/>
          <w:szCs w:val="24"/>
        </w:rPr>
        <w:t>[55</w:t>
      </w:r>
      <w:r w:rsidR="00356734">
        <w:rPr>
          <w:rFonts w:ascii="Arial" w:hAnsi="Arial" w:cs="Arial"/>
          <w:sz w:val="24"/>
          <w:szCs w:val="24"/>
        </w:rPr>
        <w:t>]</w:t>
      </w:r>
      <w:r w:rsidR="00356734">
        <w:rPr>
          <w:rFonts w:ascii="Arial" w:hAnsi="Arial" w:cs="Arial"/>
          <w:sz w:val="24"/>
          <w:szCs w:val="24"/>
        </w:rPr>
        <w:tab/>
        <w:t xml:space="preserve">However, the present matter primarily concerns </w:t>
      </w:r>
      <w:r w:rsidR="004B0E23">
        <w:rPr>
          <w:rFonts w:ascii="Arial" w:hAnsi="Arial" w:cs="Arial"/>
          <w:sz w:val="24"/>
          <w:szCs w:val="24"/>
        </w:rPr>
        <w:t xml:space="preserve">a collective agreement extended </w:t>
      </w:r>
      <w:r w:rsidR="00356734">
        <w:rPr>
          <w:rFonts w:ascii="Arial" w:hAnsi="Arial" w:cs="Arial"/>
          <w:sz w:val="24"/>
          <w:szCs w:val="24"/>
        </w:rPr>
        <w:t>in terms of s 23 (1) (d) to non-m</w:t>
      </w:r>
      <w:r w:rsidR="004B0E23">
        <w:rPr>
          <w:rFonts w:ascii="Arial" w:hAnsi="Arial" w:cs="Arial"/>
          <w:sz w:val="24"/>
          <w:szCs w:val="24"/>
        </w:rPr>
        <w:t xml:space="preserve">embers of the party unions; therefore, </w:t>
      </w:r>
      <w:r w:rsidR="00356734">
        <w:rPr>
          <w:rFonts w:ascii="Arial" w:hAnsi="Arial" w:cs="Arial"/>
          <w:sz w:val="24"/>
          <w:szCs w:val="24"/>
        </w:rPr>
        <w:t xml:space="preserve">this justification does not necessarily apply. Instead, the justification </w:t>
      </w:r>
      <w:r w:rsidR="00C97E0B">
        <w:rPr>
          <w:rFonts w:ascii="Arial" w:hAnsi="Arial" w:cs="Arial"/>
          <w:sz w:val="24"/>
          <w:szCs w:val="24"/>
        </w:rPr>
        <w:t>contended for by the respondents</w:t>
      </w:r>
      <w:r w:rsidR="00356734">
        <w:rPr>
          <w:rFonts w:ascii="Arial" w:hAnsi="Arial" w:cs="Arial"/>
          <w:sz w:val="24"/>
          <w:szCs w:val="24"/>
        </w:rPr>
        <w:t xml:space="preserve"> is one which lies in the legislative policy choice of majoritarianism, and the</w:t>
      </w:r>
      <w:r w:rsidR="00C97E0B">
        <w:rPr>
          <w:rFonts w:ascii="Arial" w:hAnsi="Arial" w:cs="Arial"/>
          <w:sz w:val="24"/>
          <w:szCs w:val="24"/>
        </w:rPr>
        <w:t>y submit to be the</w:t>
      </w:r>
      <w:r w:rsidR="00356734">
        <w:rPr>
          <w:rFonts w:ascii="Arial" w:hAnsi="Arial" w:cs="Arial"/>
          <w:sz w:val="24"/>
          <w:szCs w:val="24"/>
        </w:rPr>
        <w:t xml:space="preserve"> consequent benefit of orderly and stable collective bargaining</w:t>
      </w:r>
      <w:r w:rsidR="00630989">
        <w:rPr>
          <w:rFonts w:ascii="Arial" w:hAnsi="Arial" w:cs="Arial"/>
          <w:sz w:val="24"/>
          <w:szCs w:val="24"/>
        </w:rPr>
        <w:t>.</w:t>
      </w:r>
    </w:p>
    <w:p w:rsidR="00C97E0B" w:rsidRDefault="002774F5" w:rsidP="0006015E">
      <w:pPr>
        <w:spacing w:line="360" w:lineRule="auto"/>
        <w:ind w:left="720" w:hanging="720"/>
        <w:jc w:val="both"/>
        <w:rPr>
          <w:rFonts w:ascii="Arial" w:hAnsi="Arial" w:cs="Arial"/>
          <w:sz w:val="24"/>
          <w:szCs w:val="24"/>
        </w:rPr>
      </w:pPr>
      <w:r>
        <w:rPr>
          <w:rFonts w:ascii="Arial" w:hAnsi="Arial" w:cs="Arial"/>
          <w:sz w:val="24"/>
          <w:szCs w:val="24"/>
        </w:rPr>
        <w:t>[56</w:t>
      </w:r>
      <w:r w:rsidR="00C97E0B">
        <w:rPr>
          <w:rFonts w:ascii="Arial" w:hAnsi="Arial" w:cs="Arial"/>
          <w:sz w:val="24"/>
          <w:szCs w:val="24"/>
        </w:rPr>
        <w:t>]</w:t>
      </w:r>
      <w:r w:rsidR="00C97E0B">
        <w:rPr>
          <w:rFonts w:ascii="Arial" w:hAnsi="Arial" w:cs="Arial"/>
          <w:sz w:val="24"/>
          <w:szCs w:val="24"/>
        </w:rPr>
        <w:tab/>
      </w:r>
      <w:r w:rsidR="00630989">
        <w:rPr>
          <w:rFonts w:ascii="Arial" w:hAnsi="Arial" w:cs="Arial"/>
          <w:sz w:val="24"/>
          <w:szCs w:val="24"/>
        </w:rPr>
        <w:t xml:space="preserve"> </w:t>
      </w:r>
      <w:r w:rsidR="005C01EA">
        <w:rPr>
          <w:rFonts w:ascii="Arial" w:hAnsi="Arial" w:cs="Arial"/>
          <w:sz w:val="24"/>
          <w:szCs w:val="24"/>
        </w:rPr>
        <w:t>The principle of m</w:t>
      </w:r>
      <w:r w:rsidR="00A552C9">
        <w:rPr>
          <w:rFonts w:ascii="Arial" w:hAnsi="Arial" w:cs="Arial"/>
          <w:sz w:val="24"/>
          <w:szCs w:val="24"/>
        </w:rPr>
        <w:t xml:space="preserve">ajoritarianism </w:t>
      </w:r>
      <w:r w:rsidR="005C01EA">
        <w:rPr>
          <w:rFonts w:ascii="Arial" w:hAnsi="Arial" w:cs="Arial"/>
          <w:sz w:val="24"/>
          <w:szCs w:val="24"/>
        </w:rPr>
        <w:t>serves to underpin a number of other provisions of the LRA, some of which have been the subject of constitutional challenge.</w:t>
      </w:r>
      <w:r w:rsidR="005C01EA">
        <w:rPr>
          <w:rStyle w:val="FootnoteReference"/>
          <w:rFonts w:ascii="Arial" w:hAnsi="Arial" w:cs="Arial"/>
          <w:sz w:val="24"/>
          <w:szCs w:val="24"/>
        </w:rPr>
        <w:footnoteReference w:id="24"/>
      </w:r>
      <w:r w:rsidR="005C01EA">
        <w:rPr>
          <w:rFonts w:ascii="Arial" w:hAnsi="Arial" w:cs="Arial"/>
          <w:sz w:val="24"/>
          <w:szCs w:val="24"/>
        </w:rPr>
        <w:t xml:space="preserve"> </w:t>
      </w:r>
      <w:r w:rsidR="00A552C9">
        <w:rPr>
          <w:rFonts w:ascii="Arial" w:hAnsi="Arial" w:cs="Arial"/>
          <w:sz w:val="24"/>
          <w:szCs w:val="24"/>
        </w:rPr>
        <w:t xml:space="preserve"> </w:t>
      </w:r>
      <w:r w:rsidR="005752F6">
        <w:rPr>
          <w:rFonts w:ascii="Arial" w:hAnsi="Arial" w:cs="Arial"/>
          <w:sz w:val="24"/>
          <w:szCs w:val="24"/>
        </w:rPr>
        <w:t>T</w:t>
      </w:r>
      <w:r w:rsidR="0006015E">
        <w:rPr>
          <w:rFonts w:ascii="Arial" w:hAnsi="Arial" w:cs="Arial"/>
          <w:sz w:val="24"/>
          <w:szCs w:val="24"/>
        </w:rPr>
        <w:t xml:space="preserve">he purpose of the limitation is rooted in a policy choice made by the legislature to adopt a specific model of collective bargaining at the level of the workplace, a choice that is consistent with a scheme of the LRA as a whole. </w:t>
      </w:r>
    </w:p>
    <w:p w:rsidR="006F0C38" w:rsidRDefault="002774F5" w:rsidP="0006015E">
      <w:pPr>
        <w:spacing w:line="360" w:lineRule="auto"/>
        <w:ind w:left="720" w:hanging="720"/>
        <w:jc w:val="both"/>
        <w:rPr>
          <w:rFonts w:ascii="Arial" w:hAnsi="Arial" w:cs="Arial"/>
          <w:sz w:val="24"/>
          <w:szCs w:val="24"/>
        </w:rPr>
      </w:pPr>
      <w:r>
        <w:rPr>
          <w:rFonts w:ascii="Arial" w:hAnsi="Arial" w:cs="Arial"/>
          <w:sz w:val="24"/>
          <w:szCs w:val="24"/>
        </w:rPr>
        <w:lastRenderedPageBreak/>
        <w:t>[57</w:t>
      </w:r>
      <w:r w:rsidR="003146EE">
        <w:rPr>
          <w:rFonts w:ascii="Arial" w:hAnsi="Arial" w:cs="Arial"/>
          <w:sz w:val="24"/>
          <w:szCs w:val="24"/>
        </w:rPr>
        <w:t>]</w:t>
      </w:r>
      <w:r w:rsidR="003146EE">
        <w:rPr>
          <w:rFonts w:ascii="Arial" w:hAnsi="Arial" w:cs="Arial"/>
          <w:sz w:val="24"/>
          <w:szCs w:val="24"/>
        </w:rPr>
        <w:tab/>
      </w:r>
      <w:r w:rsidR="0006015E">
        <w:rPr>
          <w:rFonts w:ascii="Arial" w:hAnsi="Arial" w:cs="Arial"/>
          <w:sz w:val="24"/>
          <w:szCs w:val="24"/>
        </w:rPr>
        <w:t>The promotion of orderly collective bargaining is one of the explicitly recognise</w:t>
      </w:r>
      <w:r w:rsidR="003146EE">
        <w:rPr>
          <w:rFonts w:ascii="Arial" w:hAnsi="Arial" w:cs="Arial"/>
          <w:sz w:val="24"/>
          <w:szCs w:val="24"/>
        </w:rPr>
        <w:t>d</w:t>
      </w:r>
      <w:r w:rsidR="0006015E">
        <w:rPr>
          <w:rFonts w:ascii="Arial" w:hAnsi="Arial" w:cs="Arial"/>
          <w:sz w:val="24"/>
          <w:szCs w:val="24"/>
        </w:rPr>
        <w:t xml:space="preserve"> purposes of the LRA.</w:t>
      </w:r>
      <w:r w:rsidR="003146EE">
        <w:rPr>
          <w:rFonts w:ascii="Arial" w:hAnsi="Arial" w:cs="Arial"/>
          <w:sz w:val="24"/>
          <w:szCs w:val="24"/>
        </w:rPr>
        <w:t xml:space="preserve"> Once a collective agreement is reached it is crucial that these follows – this is the </w:t>
      </w:r>
      <w:r w:rsidR="003146EE" w:rsidRPr="00A552C9">
        <w:rPr>
          <w:rFonts w:ascii="Arial" w:hAnsi="Arial" w:cs="Arial"/>
          <w:i/>
          <w:sz w:val="24"/>
          <w:szCs w:val="24"/>
        </w:rPr>
        <w:t>quid pro quo</w:t>
      </w:r>
      <w:r w:rsidR="003146EE">
        <w:rPr>
          <w:rFonts w:ascii="Arial" w:hAnsi="Arial" w:cs="Arial"/>
          <w:sz w:val="24"/>
          <w:szCs w:val="24"/>
        </w:rPr>
        <w:t xml:space="preserve"> to be employer for its consent to a collective agreement conferring improved benefits on employees. Section 23 (1) (d), by providing that a collective agreement may be extended to employees who are not members of the union parties to the agreement where those parties have as the members the majority of employees employed by the employer in the workplace</w:t>
      </w:r>
      <w:r w:rsidR="008A2242">
        <w:rPr>
          <w:rFonts w:ascii="Arial" w:hAnsi="Arial" w:cs="Arial"/>
          <w:sz w:val="24"/>
          <w:szCs w:val="24"/>
        </w:rPr>
        <w:t>,</w:t>
      </w:r>
      <w:r w:rsidR="003146EE">
        <w:rPr>
          <w:rFonts w:ascii="Arial" w:hAnsi="Arial" w:cs="Arial"/>
          <w:sz w:val="24"/>
          <w:szCs w:val="24"/>
        </w:rPr>
        <w:t xml:space="preserve"> both serves to apply the principle of majoritarianism in the sense that the will of the majority should prevail, but also to protect the interests of the minority by imposing constraints on the extent to which a collective agreement might be extended. Here, it is worth noting that the definition of ‘workplace’ clearly extends beyond any agreed bargaining unit - all employees in the workplace must be brought into account, including those who are engaged outside the defined unit in respect of which bargaining takes place.</w:t>
      </w:r>
    </w:p>
    <w:p w:rsidR="003146EE" w:rsidRDefault="002774F5" w:rsidP="0006015E">
      <w:pPr>
        <w:spacing w:line="360" w:lineRule="auto"/>
        <w:ind w:left="720" w:hanging="720"/>
        <w:jc w:val="both"/>
        <w:rPr>
          <w:rFonts w:ascii="Arial" w:hAnsi="Arial" w:cs="Arial"/>
          <w:sz w:val="24"/>
          <w:szCs w:val="24"/>
        </w:rPr>
      </w:pPr>
      <w:r>
        <w:rPr>
          <w:rFonts w:ascii="Arial" w:hAnsi="Arial" w:cs="Arial"/>
          <w:sz w:val="24"/>
          <w:szCs w:val="24"/>
        </w:rPr>
        <w:t>[58</w:t>
      </w:r>
      <w:r w:rsidR="003146EE">
        <w:rPr>
          <w:rFonts w:ascii="Arial" w:hAnsi="Arial" w:cs="Arial"/>
          <w:sz w:val="24"/>
          <w:szCs w:val="24"/>
        </w:rPr>
        <w:t>]</w:t>
      </w:r>
      <w:r w:rsidR="003146EE">
        <w:rPr>
          <w:rFonts w:ascii="Arial" w:hAnsi="Arial" w:cs="Arial"/>
          <w:sz w:val="24"/>
          <w:szCs w:val="24"/>
        </w:rPr>
        <w:tab/>
        <w:t>The legitimacy of the policy choice made by the lawgiver has been ex</w:t>
      </w:r>
      <w:r w:rsidR="003E66E8">
        <w:rPr>
          <w:rFonts w:ascii="Arial" w:hAnsi="Arial" w:cs="Arial"/>
          <w:sz w:val="24"/>
          <w:szCs w:val="24"/>
        </w:rPr>
        <w:t>pressly approved by the Labour Appeal C</w:t>
      </w:r>
      <w:r w:rsidR="003146EE">
        <w:rPr>
          <w:rFonts w:ascii="Arial" w:hAnsi="Arial" w:cs="Arial"/>
          <w:sz w:val="24"/>
          <w:szCs w:val="24"/>
        </w:rPr>
        <w:t xml:space="preserve">ourt in </w:t>
      </w:r>
      <w:r w:rsidR="003146EE" w:rsidRPr="003E66E8">
        <w:rPr>
          <w:rFonts w:ascii="Arial" w:hAnsi="Arial" w:cs="Arial"/>
          <w:i/>
          <w:sz w:val="24"/>
          <w:szCs w:val="24"/>
        </w:rPr>
        <w:t>Kem-Lin Fashions CC v Brunton &amp; another</w:t>
      </w:r>
      <w:r w:rsidR="003146EE">
        <w:rPr>
          <w:rFonts w:ascii="Arial" w:hAnsi="Arial" w:cs="Arial"/>
          <w:sz w:val="24"/>
          <w:szCs w:val="24"/>
        </w:rPr>
        <w:t xml:space="preserve"> where the court said the following:</w:t>
      </w:r>
    </w:p>
    <w:p w:rsidR="003146EE" w:rsidRDefault="003E66E8" w:rsidP="003146EE">
      <w:pPr>
        <w:spacing w:line="360" w:lineRule="auto"/>
        <w:ind w:left="1440"/>
        <w:jc w:val="both"/>
        <w:rPr>
          <w:rFonts w:ascii="Arial" w:hAnsi="Arial" w:cs="Arial"/>
          <w:sz w:val="24"/>
          <w:szCs w:val="24"/>
        </w:rPr>
      </w:pPr>
      <w:r>
        <w:rPr>
          <w:rFonts w:ascii="Arial" w:hAnsi="Arial" w:cs="Arial"/>
          <w:sz w:val="24"/>
          <w:szCs w:val="24"/>
        </w:rPr>
        <w:t>‘</w:t>
      </w:r>
      <w:r w:rsidRPr="003E66E8">
        <w:rPr>
          <w:rFonts w:ascii="Arial" w:hAnsi="Arial" w:cs="Arial"/>
        </w:rPr>
        <w:t>T</w:t>
      </w:r>
      <w:r w:rsidR="003146EE" w:rsidRPr="003E66E8">
        <w:rPr>
          <w:rFonts w:ascii="Arial" w:hAnsi="Arial" w:cs="Arial"/>
        </w:rPr>
        <w:t>he legi</w:t>
      </w:r>
      <w:r w:rsidR="008A2242">
        <w:rPr>
          <w:rFonts w:ascii="Arial" w:hAnsi="Arial" w:cs="Arial"/>
        </w:rPr>
        <w:t>slature has also made certain policy choices in the A</w:t>
      </w:r>
      <w:r w:rsidR="003146EE" w:rsidRPr="003E66E8">
        <w:rPr>
          <w:rFonts w:ascii="Arial" w:hAnsi="Arial" w:cs="Arial"/>
        </w:rPr>
        <w:t>ct of which are relevant to this matter. One policy choice is that the will of the majority should prevail over that of the minority. This is good for orderly collective bargaining as well as for the democratisation of the workplace and sectors. A situation where the minority dictates to the majority is, quite obviously, untenable. But also a proliferation of trad</w:t>
      </w:r>
      <w:r w:rsidR="008A2242">
        <w:rPr>
          <w:rFonts w:ascii="Arial" w:hAnsi="Arial" w:cs="Arial"/>
        </w:rPr>
        <w:t>e unions in one workplace or in a</w:t>
      </w:r>
      <w:r w:rsidR="003146EE" w:rsidRPr="003E66E8">
        <w:rPr>
          <w:rFonts w:ascii="Arial" w:hAnsi="Arial" w:cs="Arial"/>
        </w:rPr>
        <w:t xml:space="preserve"> sector should be discouraged</w:t>
      </w:r>
      <w:r w:rsidRPr="003E66E8">
        <w:rPr>
          <w:rFonts w:ascii="Arial" w:hAnsi="Arial" w:cs="Arial"/>
        </w:rPr>
        <w:t>.’</w:t>
      </w:r>
      <w:r>
        <w:rPr>
          <w:rFonts w:ascii="Arial" w:hAnsi="Arial" w:cs="Arial"/>
          <w:sz w:val="24"/>
          <w:szCs w:val="24"/>
        </w:rPr>
        <w:t xml:space="preserve"> </w:t>
      </w:r>
      <w:r w:rsidR="006252C2">
        <w:rPr>
          <w:rStyle w:val="FootnoteReference"/>
          <w:rFonts w:ascii="Arial" w:hAnsi="Arial" w:cs="Arial"/>
          <w:sz w:val="24"/>
          <w:szCs w:val="24"/>
        </w:rPr>
        <w:footnoteReference w:id="25"/>
      </w:r>
    </w:p>
    <w:p w:rsidR="006F0C38" w:rsidRDefault="002774F5" w:rsidP="006252C2">
      <w:pPr>
        <w:spacing w:line="360" w:lineRule="auto"/>
        <w:ind w:left="720" w:hanging="720"/>
        <w:jc w:val="both"/>
        <w:rPr>
          <w:rFonts w:ascii="Arial" w:hAnsi="Arial" w:cs="Arial"/>
          <w:sz w:val="24"/>
          <w:szCs w:val="24"/>
        </w:rPr>
      </w:pPr>
      <w:r>
        <w:rPr>
          <w:rFonts w:ascii="Arial" w:hAnsi="Arial" w:cs="Arial"/>
          <w:sz w:val="24"/>
          <w:szCs w:val="24"/>
        </w:rPr>
        <w:t>[59</w:t>
      </w:r>
      <w:r w:rsidR="003E66E8">
        <w:rPr>
          <w:rFonts w:ascii="Arial" w:hAnsi="Arial" w:cs="Arial"/>
          <w:sz w:val="24"/>
          <w:szCs w:val="24"/>
        </w:rPr>
        <w:t>]</w:t>
      </w:r>
      <w:r w:rsidR="003E66E8">
        <w:rPr>
          <w:rFonts w:ascii="Arial" w:hAnsi="Arial" w:cs="Arial"/>
          <w:sz w:val="24"/>
          <w:szCs w:val="24"/>
        </w:rPr>
        <w:tab/>
        <w:t>The courts have confirmed that in a justification enquiry</w:t>
      </w:r>
      <w:r w:rsidR="002B21D2">
        <w:rPr>
          <w:rFonts w:ascii="Arial" w:hAnsi="Arial" w:cs="Arial"/>
          <w:sz w:val="24"/>
          <w:szCs w:val="24"/>
        </w:rPr>
        <w:t>,</w:t>
      </w:r>
      <w:r w:rsidR="003E66E8">
        <w:rPr>
          <w:rFonts w:ascii="Arial" w:hAnsi="Arial" w:cs="Arial"/>
          <w:sz w:val="24"/>
          <w:szCs w:val="24"/>
        </w:rPr>
        <w:t xml:space="preserve"> foreign and international law, embodying the law and other open and democratic societies, should </w:t>
      </w:r>
      <w:r w:rsidR="00C97E0B">
        <w:rPr>
          <w:rFonts w:ascii="Arial" w:hAnsi="Arial" w:cs="Arial"/>
          <w:sz w:val="24"/>
          <w:szCs w:val="24"/>
        </w:rPr>
        <w:t>inform that</w:t>
      </w:r>
      <w:r w:rsidR="002B21D2">
        <w:rPr>
          <w:rFonts w:ascii="Arial" w:hAnsi="Arial" w:cs="Arial"/>
          <w:sz w:val="24"/>
          <w:szCs w:val="24"/>
        </w:rPr>
        <w:t xml:space="preserve"> enquiry. The justifi</w:t>
      </w:r>
      <w:r w:rsidR="003E66E8">
        <w:rPr>
          <w:rFonts w:ascii="Arial" w:hAnsi="Arial" w:cs="Arial"/>
          <w:sz w:val="24"/>
          <w:szCs w:val="24"/>
        </w:rPr>
        <w:t xml:space="preserve">ability of the impugned provisions is apparent from the </w:t>
      </w:r>
      <w:r w:rsidR="003E66E8">
        <w:rPr>
          <w:rFonts w:ascii="Arial" w:hAnsi="Arial" w:cs="Arial"/>
          <w:sz w:val="24"/>
          <w:szCs w:val="24"/>
        </w:rPr>
        <w:lastRenderedPageBreak/>
        <w:t>views of the supervisory bodies responsible for monitoring compliance with international labour standards.</w:t>
      </w:r>
    </w:p>
    <w:p w:rsidR="00E271BE" w:rsidRDefault="003E66E8" w:rsidP="007C4E4B">
      <w:pPr>
        <w:spacing w:line="360" w:lineRule="auto"/>
        <w:ind w:left="720" w:hanging="720"/>
        <w:jc w:val="both"/>
        <w:rPr>
          <w:rFonts w:ascii="Arial" w:hAnsi="Arial" w:cs="Arial"/>
          <w:sz w:val="24"/>
          <w:szCs w:val="24"/>
        </w:rPr>
      </w:pPr>
      <w:r>
        <w:rPr>
          <w:rFonts w:ascii="Arial" w:hAnsi="Arial" w:cs="Arial"/>
          <w:szCs w:val="24"/>
        </w:rPr>
        <w:t xml:space="preserve"> </w:t>
      </w:r>
      <w:r w:rsidR="002774F5">
        <w:rPr>
          <w:rFonts w:ascii="Arial" w:hAnsi="Arial" w:cs="Arial"/>
          <w:szCs w:val="24"/>
        </w:rPr>
        <w:t>[60</w:t>
      </w:r>
      <w:r w:rsidR="007C4E4B">
        <w:rPr>
          <w:rFonts w:ascii="Arial" w:hAnsi="Arial" w:cs="Arial"/>
          <w:szCs w:val="24"/>
        </w:rPr>
        <w:t>]</w:t>
      </w:r>
      <w:r w:rsidR="007C4E4B">
        <w:rPr>
          <w:rFonts w:ascii="Arial" w:hAnsi="Arial" w:cs="Arial"/>
          <w:szCs w:val="24"/>
        </w:rPr>
        <w:tab/>
      </w:r>
      <w:r w:rsidR="002052AA">
        <w:rPr>
          <w:rFonts w:ascii="Arial" w:hAnsi="Arial" w:cs="Arial"/>
          <w:sz w:val="24"/>
          <w:szCs w:val="24"/>
        </w:rPr>
        <w:t xml:space="preserve">In </w:t>
      </w:r>
      <w:r w:rsidR="002052AA" w:rsidRPr="002171C0">
        <w:rPr>
          <w:rFonts w:ascii="Arial" w:hAnsi="Arial" w:cs="Arial"/>
          <w:i/>
          <w:sz w:val="24"/>
          <w:szCs w:val="24"/>
        </w:rPr>
        <w:t>SA National Defence Union v Minister of Defence &amp; another</w:t>
      </w:r>
      <w:r w:rsidR="002052AA">
        <w:rPr>
          <w:rFonts w:ascii="Arial" w:hAnsi="Arial" w:cs="Arial"/>
          <w:sz w:val="24"/>
          <w:szCs w:val="24"/>
        </w:rPr>
        <w:t xml:space="preserve"> (1999) 20 </w:t>
      </w:r>
      <w:r w:rsidR="002052AA" w:rsidRPr="002171C0">
        <w:rPr>
          <w:rFonts w:ascii="Arial" w:hAnsi="Arial" w:cs="Arial"/>
          <w:i/>
          <w:sz w:val="24"/>
          <w:szCs w:val="24"/>
        </w:rPr>
        <w:t xml:space="preserve">ILJ </w:t>
      </w:r>
      <w:r w:rsidR="007C4E4B">
        <w:rPr>
          <w:rFonts w:ascii="Arial" w:hAnsi="Arial" w:cs="Arial"/>
          <w:sz w:val="24"/>
          <w:szCs w:val="24"/>
        </w:rPr>
        <w:t>2265 (CC) the Constitutional C</w:t>
      </w:r>
      <w:r w:rsidR="002052AA">
        <w:rPr>
          <w:rFonts w:ascii="Arial" w:hAnsi="Arial" w:cs="Arial"/>
          <w:sz w:val="24"/>
          <w:szCs w:val="24"/>
        </w:rPr>
        <w:t>ourt spec</w:t>
      </w:r>
      <w:r w:rsidR="006252C2">
        <w:rPr>
          <w:rFonts w:ascii="Arial" w:hAnsi="Arial" w:cs="Arial"/>
          <w:sz w:val="24"/>
          <w:szCs w:val="24"/>
        </w:rPr>
        <w:t>ifically affirmed the value of Conventions and Recommendations adopted by the International Labour O</w:t>
      </w:r>
      <w:r w:rsidR="008A2242">
        <w:rPr>
          <w:rFonts w:ascii="Arial" w:hAnsi="Arial" w:cs="Arial"/>
          <w:sz w:val="24"/>
          <w:szCs w:val="24"/>
        </w:rPr>
        <w:t>rganiz</w:t>
      </w:r>
      <w:r w:rsidR="002052AA">
        <w:rPr>
          <w:rFonts w:ascii="Arial" w:hAnsi="Arial" w:cs="Arial"/>
          <w:sz w:val="24"/>
          <w:szCs w:val="24"/>
        </w:rPr>
        <w:t>ation as an important resource f</w:t>
      </w:r>
      <w:r w:rsidR="006252C2">
        <w:rPr>
          <w:rFonts w:ascii="Arial" w:hAnsi="Arial" w:cs="Arial"/>
          <w:sz w:val="24"/>
          <w:szCs w:val="24"/>
        </w:rPr>
        <w:t>or the interpretation of s 23 of the C</w:t>
      </w:r>
      <w:r w:rsidR="002052AA">
        <w:rPr>
          <w:rFonts w:ascii="Arial" w:hAnsi="Arial" w:cs="Arial"/>
          <w:sz w:val="24"/>
          <w:szCs w:val="24"/>
        </w:rPr>
        <w:t xml:space="preserve">onstitution. </w:t>
      </w:r>
      <w:r w:rsidR="00CF4A3D">
        <w:rPr>
          <w:rFonts w:ascii="Arial" w:hAnsi="Arial" w:cs="Arial"/>
          <w:sz w:val="24"/>
          <w:szCs w:val="24"/>
        </w:rPr>
        <w:t>In that matter, the court referred specifical</w:t>
      </w:r>
      <w:r w:rsidR="00120822">
        <w:rPr>
          <w:rFonts w:ascii="Arial" w:hAnsi="Arial" w:cs="Arial"/>
          <w:sz w:val="24"/>
          <w:szCs w:val="24"/>
        </w:rPr>
        <w:t>ly to the supervisory bodies</w:t>
      </w:r>
      <w:r w:rsidR="00CF4A3D">
        <w:rPr>
          <w:rFonts w:ascii="Arial" w:hAnsi="Arial" w:cs="Arial"/>
          <w:sz w:val="24"/>
          <w:szCs w:val="24"/>
        </w:rPr>
        <w:t xml:space="preserve"> established by the ILO’s constitution and emphasised the importance o</w:t>
      </w:r>
      <w:r w:rsidR="00120822">
        <w:rPr>
          <w:rFonts w:ascii="Arial" w:hAnsi="Arial" w:cs="Arial"/>
          <w:sz w:val="24"/>
          <w:szCs w:val="24"/>
        </w:rPr>
        <w:t>f the body of decisions by them</w:t>
      </w:r>
      <w:r w:rsidR="006A5910">
        <w:rPr>
          <w:rFonts w:ascii="Arial" w:hAnsi="Arial" w:cs="Arial"/>
          <w:sz w:val="24"/>
          <w:szCs w:val="24"/>
        </w:rPr>
        <w:t xml:space="preserve">. These </w:t>
      </w:r>
      <w:r w:rsidR="00CF4A3D">
        <w:rPr>
          <w:rFonts w:ascii="Arial" w:hAnsi="Arial" w:cs="Arial"/>
          <w:sz w:val="24"/>
          <w:szCs w:val="24"/>
        </w:rPr>
        <w:t>bodies have developed a jurisprudence i</w:t>
      </w:r>
      <w:r w:rsidR="008A2242">
        <w:rPr>
          <w:rFonts w:ascii="Arial" w:hAnsi="Arial" w:cs="Arial"/>
          <w:sz w:val="24"/>
          <w:szCs w:val="24"/>
        </w:rPr>
        <w:t>n the course of their</w:t>
      </w:r>
      <w:r w:rsidR="00CF4A3D">
        <w:rPr>
          <w:rFonts w:ascii="Arial" w:hAnsi="Arial" w:cs="Arial"/>
          <w:sz w:val="24"/>
          <w:szCs w:val="24"/>
        </w:rPr>
        <w:t xml:space="preserve"> </w:t>
      </w:r>
      <w:r w:rsidR="008A2242">
        <w:rPr>
          <w:rFonts w:ascii="Arial" w:hAnsi="Arial" w:cs="Arial"/>
          <w:sz w:val="24"/>
          <w:szCs w:val="24"/>
        </w:rPr>
        <w:t xml:space="preserve">respective </w:t>
      </w:r>
      <w:r w:rsidR="00CF4A3D">
        <w:rPr>
          <w:rFonts w:ascii="Arial" w:hAnsi="Arial" w:cs="Arial"/>
          <w:sz w:val="24"/>
          <w:szCs w:val="24"/>
        </w:rPr>
        <w:t>obligations to mo</w:t>
      </w:r>
      <w:r w:rsidR="006252C2">
        <w:rPr>
          <w:rFonts w:ascii="Arial" w:hAnsi="Arial" w:cs="Arial"/>
          <w:sz w:val="24"/>
          <w:szCs w:val="24"/>
        </w:rPr>
        <w:t>nitor compliance with ratified c</w:t>
      </w:r>
      <w:r w:rsidR="008A2242">
        <w:rPr>
          <w:rFonts w:ascii="Arial" w:hAnsi="Arial" w:cs="Arial"/>
          <w:sz w:val="24"/>
          <w:szCs w:val="24"/>
        </w:rPr>
        <w:t>onventions and</w:t>
      </w:r>
      <w:r w:rsidR="00CF4A3D">
        <w:rPr>
          <w:rFonts w:ascii="Arial" w:hAnsi="Arial" w:cs="Arial"/>
          <w:sz w:val="24"/>
          <w:szCs w:val="24"/>
        </w:rPr>
        <w:t xml:space="preserve"> to conduct general surveys on national law and pra</w:t>
      </w:r>
      <w:r w:rsidR="006252C2">
        <w:rPr>
          <w:rFonts w:ascii="Arial" w:hAnsi="Arial" w:cs="Arial"/>
          <w:sz w:val="24"/>
          <w:szCs w:val="24"/>
        </w:rPr>
        <w:t>ctice in respect of particular c</w:t>
      </w:r>
      <w:r w:rsidR="00CF4A3D">
        <w:rPr>
          <w:rFonts w:ascii="Arial" w:hAnsi="Arial" w:cs="Arial"/>
          <w:sz w:val="24"/>
          <w:szCs w:val="24"/>
        </w:rPr>
        <w:t>onventions</w:t>
      </w:r>
      <w:r w:rsidR="008A2242">
        <w:rPr>
          <w:rFonts w:ascii="Arial" w:hAnsi="Arial" w:cs="Arial"/>
          <w:sz w:val="24"/>
          <w:szCs w:val="24"/>
        </w:rPr>
        <w:t>,</w:t>
      </w:r>
      <w:r w:rsidR="00CF4A3D">
        <w:rPr>
          <w:rFonts w:ascii="Arial" w:hAnsi="Arial" w:cs="Arial"/>
          <w:sz w:val="24"/>
          <w:szCs w:val="24"/>
        </w:rPr>
        <w:t xml:space="preserve"> and to receive and consider complaints regarding alleged br</w:t>
      </w:r>
      <w:r w:rsidR="006252C2">
        <w:rPr>
          <w:rFonts w:ascii="Arial" w:hAnsi="Arial" w:cs="Arial"/>
          <w:sz w:val="24"/>
          <w:szCs w:val="24"/>
        </w:rPr>
        <w:t>eaches of rights of freedom of a</w:t>
      </w:r>
      <w:r w:rsidR="00CF4A3D">
        <w:rPr>
          <w:rFonts w:ascii="Arial" w:hAnsi="Arial" w:cs="Arial"/>
          <w:sz w:val="24"/>
          <w:szCs w:val="24"/>
        </w:rPr>
        <w:t xml:space="preserve">ssociation. </w:t>
      </w:r>
      <w:r w:rsidR="002052AA">
        <w:rPr>
          <w:rFonts w:ascii="Arial" w:hAnsi="Arial" w:cs="Arial"/>
          <w:sz w:val="24"/>
          <w:szCs w:val="24"/>
        </w:rPr>
        <w:t>The jurispru</w:t>
      </w:r>
      <w:r w:rsidR="00E271BE">
        <w:rPr>
          <w:rFonts w:ascii="Arial" w:hAnsi="Arial" w:cs="Arial"/>
          <w:sz w:val="24"/>
          <w:szCs w:val="24"/>
        </w:rPr>
        <w:t xml:space="preserve">dence developed by the </w:t>
      </w:r>
      <w:r w:rsidR="006A5910">
        <w:rPr>
          <w:rFonts w:ascii="Arial" w:hAnsi="Arial" w:cs="Arial"/>
          <w:sz w:val="24"/>
          <w:szCs w:val="24"/>
        </w:rPr>
        <w:t xml:space="preserve">ILO’s </w:t>
      </w:r>
      <w:r w:rsidR="00E271BE">
        <w:rPr>
          <w:rFonts w:ascii="Arial" w:hAnsi="Arial" w:cs="Arial"/>
          <w:sz w:val="24"/>
          <w:szCs w:val="24"/>
        </w:rPr>
        <w:t>Committee of Experts on the Application of Conventions and Recommendations (Committee of Experts) and the Freedom of Association Committee of the</w:t>
      </w:r>
      <w:r w:rsidR="006A5910">
        <w:rPr>
          <w:rFonts w:ascii="Arial" w:hAnsi="Arial" w:cs="Arial"/>
          <w:sz w:val="24"/>
          <w:szCs w:val="24"/>
        </w:rPr>
        <w:t xml:space="preserve"> Governing Body</w:t>
      </w:r>
      <w:r w:rsidR="00E271BE">
        <w:rPr>
          <w:rFonts w:ascii="Arial" w:hAnsi="Arial" w:cs="Arial"/>
          <w:sz w:val="24"/>
          <w:szCs w:val="24"/>
        </w:rPr>
        <w:t xml:space="preserve"> (CFA) is</w:t>
      </w:r>
      <w:r w:rsidR="006A5910">
        <w:rPr>
          <w:rFonts w:ascii="Arial" w:hAnsi="Arial" w:cs="Arial"/>
          <w:sz w:val="24"/>
          <w:szCs w:val="24"/>
        </w:rPr>
        <w:t xml:space="preserve"> to be found</w:t>
      </w:r>
      <w:r w:rsidR="00E271BE">
        <w:rPr>
          <w:rFonts w:ascii="Arial" w:hAnsi="Arial" w:cs="Arial"/>
          <w:sz w:val="24"/>
          <w:szCs w:val="24"/>
        </w:rPr>
        <w:t>, amongst other sources, in the General Surveys conducted by the Committee of Experts and the CFA’s</w:t>
      </w:r>
      <w:r w:rsidR="006252C2">
        <w:rPr>
          <w:rFonts w:ascii="Arial" w:hAnsi="Arial" w:cs="Arial"/>
          <w:sz w:val="24"/>
          <w:szCs w:val="24"/>
        </w:rPr>
        <w:t xml:space="preserve"> Digest</w:t>
      </w:r>
      <w:r w:rsidR="008A2242">
        <w:rPr>
          <w:rFonts w:ascii="Arial" w:hAnsi="Arial" w:cs="Arial"/>
          <w:sz w:val="24"/>
          <w:szCs w:val="24"/>
        </w:rPr>
        <w:t xml:space="preserve"> </w:t>
      </w:r>
      <w:r w:rsidR="00EB219E">
        <w:rPr>
          <w:rStyle w:val="FootnoteReference"/>
          <w:rFonts w:ascii="Arial" w:hAnsi="Arial" w:cs="Arial"/>
          <w:sz w:val="24"/>
          <w:szCs w:val="24"/>
        </w:rPr>
        <w:footnoteReference w:id="26"/>
      </w:r>
      <w:r w:rsidR="002052AA">
        <w:rPr>
          <w:rFonts w:ascii="Arial" w:hAnsi="Arial" w:cs="Arial"/>
          <w:sz w:val="24"/>
          <w:szCs w:val="24"/>
        </w:rPr>
        <w:t xml:space="preserve"> of </w:t>
      </w:r>
      <w:r w:rsidR="00E271BE">
        <w:rPr>
          <w:rFonts w:ascii="Arial" w:hAnsi="Arial" w:cs="Arial"/>
          <w:sz w:val="24"/>
          <w:szCs w:val="24"/>
        </w:rPr>
        <w:t xml:space="preserve">its </w:t>
      </w:r>
      <w:r w:rsidR="002052AA">
        <w:rPr>
          <w:rFonts w:ascii="Arial" w:hAnsi="Arial" w:cs="Arial"/>
          <w:sz w:val="24"/>
          <w:szCs w:val="24"/>
        </w:rPr>
        <w:t>decisions</w:t>
      </w:r>
      <w:r w:rsidR="00E271BE">
        <w:rPr>
          <w:rFonts w:ascii="Arial" w:hAnsi="Arial" w:cs="Arial"/>
          <w:sz w:val="24"/>
          <w:szCs w:val="24"/>
        </w:rPr>
        <w:t>.</w:t>
      </w:r>
      <w:r w:rsidR="002052AA">
        <w:rPr>
          <w:rFonts w:ascii="Arial" w:hAnsi="Arial" w:cs="Arial"/>
          <w:sz w:val="24"/>
          <w:szCs w:val="24"/>
        </w:rPr>
        <w:t xml:space="preserve"> </w:t>
      </w:r>
    </w:p>
    <w:p w:rsidR="00CF4A3D" w:rsidRDefault="002774F5" w:rsidP="007C4E4B">
      <w:pPr>
        <w:spacing w:line="360" w:lineRule="auto"/>
        <w:ind w:left="720" w:hanging="720"/>
        <w:jc w:val="both"/>
        <w:rPr>
          <w:rFonts w:ascii="Arial" w:hAnsi="Arial" w:cs="Arial"/>
          <w:sz w:val="24"/>
          <w:szCs w:val="24"/>
        </w:rPr>
      </w:pPr>
      <w:r>
        <w:rPr>
          <w:rFonts w:ascii="Arial" w:hAnsi="Arial" w:cs="Arial"/>
          <w:sz w:val="24"/>
          <w:szCs w:val="24"/>
        </w:rPr>
        <w:t>[61</w:t>
      </w:r>
      <w:r w:rsidR="007C4E4B">
        <w:rPr>
          <w:rFonts w:ascii="Arial" w:hAnsi="Arial" w:cs="Arial"/>
          <w:sz w:val="24"/>
          <w:szCs w:val="24"/>
        </w:rPr>
        <w:t>]</w:t>
      </w:r>
      <w:r w:rsidR="007C4E4B">
        <w:rPr>
          <w:rFonts w:ascii="Arial" w:hAnsi="Arial" w:cs="Arial"/>
          <w:sz w:val="24"/>
          <w:szCs w:val="24"/>
        </w:rPr>
        <w:tab/>
        <w:t>B</w:t>
      </w:r>
      <w:r w:rsidR="00C17C1E">
        <w:rPr>
          <w:rFonts w:ascii="Arial" w:hAnsi="Arial" w:cs="Arial"/>
          <w:sz w:val="24"/>
          <w:szCs w:val="24"/>
        </w:rPr>
        <w:t>oth bodies have interpreted C</w:t>
      </w:r>
      <w:r w:rsidR="00CF4A3D">
        <w:rPr>
          <w:rFonts w:ascii="Arial" w:hAnsi="Arial" w:cs="Arial"/>
          <w:sz w:val="24"/>
          <w:szCs w:val="24"/>
        </w:rPr>
        <w:t xml:space="preserve">onventions 87 and 98 so as to include a right to strike. This is not been uncontroversial but for present purposes it is significant in that </w:t>
      </w:r>
      <w:r w:rsidR="00C17C1E">
        <w:rPr>
          <w:rFonts w:ascii="Arial" w:hAnsi="Arial" w:cs="Arial"/>
          <w:sz w:val="24"/>
          <w:szCs w:val="24"/>
        </w:rPr>
        <w:t>both the Committee of Experts and the CFA accept</w:t>
      </w:r>
      <w:r w:rsidR="00CF4A3D">
        <w:rPr>
          <w:rFonts w:ascii="Arial" w:hAnsi="Arial" w:cs="Arial"/>
          <w:sz w:val="24"/>
          <w:szCs w:val="24"/>
        </w:rPr>
        <w:t xml:space="preserve"> as a starting point that the right to strike is not absolute and that it may be restricted or, in exceptional circumstances, even pr</w:t>
      </w:r>
      <w:r w:rsidR="00C17C1E">
        <w:rPr>
          <w:rFonts w:ascii="Arial" w:hAnsi="Arial" w:cs="Arial"/>
          <w:sz w:val="24"/>
          <w:szCs w:val="24"/>
        </w:rPr>
        <w:t>ohibited. Paragraph 142 of the General S</w:t>
      </w:r>
      <w:r w:rsidR="00CF4A3D">
        <w:rPr>
          <w:rFonts w:ascii="Arial" w:hAnsi="Arial" w:cs="Arial"/>
          <w:sz w:val="24"/>
          <w:szCs w:val="24"/>
        </w:rPr>
        <w:t>urvey</w:t>
      </w:r>
      <w:r w:rsidR="006A5910">
        <w:rPr>
          <w:rFonts w:ascii="Arial" w:hAnsi="Arial" w:cs="Arial"/>
          <w:sz w:val="24"/>
          <w:szCs w:val="24"/>
        </w:rPr>
        <w:t xml:space="preserve"> on the fundamental Conventions concerning rights at work in the light of the ILO Declaration on Social Justice for a Fair Globalisation tabled at the </w:t>
      </w:r>
      <w:r w:rsidR="00120822">
        <w:rPr>
          <w:rFonts w:ascii="Arial" w:hAnsi="Arial" w:cs="Arial"/>
          <w:sz w:val="24"/>
          <w:szCs w:val="24"/>
        </w:rPr>
        <w:t xml:space="preserve">2012 </w:t>
      </w:r>
      <w:r w:rsidR="006A5910">
        <w:rPr>
          <w:rFonts w:ascii="Arial" w:hAnsi="Arial" w:cs="Arial"/>
          <w:sz w:val="24"/>
          <w:szCs w:val="24"/>
        </w:rPr>
        <w:t>Interna</w:t>
      </w:r>
      <w:r w:rsidR="00120822">
        <w:rPr>
          <w:rFonts w:ascii="Arial" w:hAnsi="Arial" w:cs="Arial"/>
          <w:sz w:val="24"/>
          <w:szCs w:val="24"/>
        </w:rPr>
        <w:t>tional Labour Conference</w:t>
      </w:r>
      <w:r w:rsidR="006A5910">
        <w:rPr>
          <w:rFonts w:ascii="Arial" w:hAnsi="Arial" w:cs="Arial"/>
          <w:sz w:val="24"/>
          <w:szCs w:val="24"/>
        </w:rPr>
        <w:t xml:space="preserve"> </w:t>
      </w:r>
      <w:r w:rsidR="00CF4A3D">
        <w:rPr>
          <w:rFonts w:ascii="Arial" w:hAnsi="Arial" w:cs="Arial"/>
          <w:sz w:val="24"/>
          <w:szCs w:val="24"/>
        </w:rPr>
        <w:t>reads as follows:</w:t>
      </w:r>
    </w:p>
    <w:p w:rsidR="00CC55BB" w:rsidRPr="00CC55BB" w:rsidRDefault="00CC55BB" w:rsidP="00A826E5">
      <w:pPr>
        <w:spacing w:line="360" w:lineRule="auto"/>
        <w:jc w:val="both"/>
        <w:rPr>
          <w:rFonts w:ascii="Arial" w:hAnsi="Arial" w:cs="Arial"/>
        </w:rPr>
      </w:pPr>
      <w:r>
        <w:rPr>
          <w:rFonts w:ascii="Arial" w:hAnsi="Arial" w:cs="Arial"/>
          <w:sz w:val="24"/>
          <w:szCs w:val="24"/>
        </w:rPr>
        <w:tab/>
      </w:r>
      <w:r w:rsidR="00C17C1E">
        <w:rPr>
          <w:rFonts w:ascii="Arial" w:hAnsi="Arial" w:cs="Arial"/>
          <w:sz w:val="24"/>
          <w:szCs w:val="24"/>
        </w:rPr>
        <w:tab/>
      </w:r>
      <w:r>
        <w:rPr>
          <w:rFonts w:ascii="Arial" w:hAnsi="Arial" w:cs="Arial"/>
          <w:sz w:val="24"/>
          <w:szCs w:val="24"/>
        </w:rPr>
        <w:t>‘</w:t>
      </w:r>
      <w:r w:rsidR="00C17C1E">
        <w:rPr>
          <w:rFonts w:ascii="Arial" w:hAnsi="Arial" w:cs="Arial"/>
        </w:rPr>
        <w:t>R</w:t>
      </w:r>
      <w:r w:rsidRPr="00CC55BB">
        <w:rPr>
          <w:rFonts w:ascii="Arial" w:hAnsi="Arial" w:cs="Arial"/>
        </w:rPr>
        <w:t>estrictions on strikes during the term of a collective agreement</w:t>
      </w:r>
    </w:p>
    <w:p w:rsidR="00CC55BB" w:rsidRPr="00CC55BB" w:rsidRDefault="00CC55BB" w:rsidP="00A826E5">
      <w:pPr>
        <w:spacing w:line="360" w:lineRule="auto"/>
        <w:ind w:left="1440"/>
        <w:jc w:val="both"/>
        <w:rPr>
          <w:rFonts w:ascii="Arial" w:hAnsi="Arial" w:cs="Arial"/>
        </w:rPr>
      </w:pPr>
      <w:r w:rsidRPr="00CC55BB">
        <w:rPr>
          <w:rFonts w:ascii="Arial" w:hAnsi="Arial" w:cs="Arial"/>
        </w:rPr>
        <w:t>142.</w:t>
      </w:r>
      <w:r w:rsidRPr="00CC55BB">
        <w:rPr>
          <w:rFonts w:ascii="Arial" w:hAnsi="Arial" w:cs="Arial"/>
        </w:rPr>
        <w:tab/>
        <w:t xml:space="preserve">The legislation in certain countries does not establish any restrictions on the time when a strike may be initiated, stipulating only that the advance notice </w:t>
      </w:r>
      <w:r w:rsidR="008A2242">
        <w:rPr>
          <w:rFonts w:ascii="Arial" w:hAnsi="Arial" w:cs="Arial"/>
        </w:rPr>
        <w:lastRenderedPageBreak/>
        <w:t>established by the law or by</w:t>
      </w:r>
      <w:r w:rsidRPr="00CC55BB">
        <w:rPr>
          <w:rFonts w:ascii="Arial" w:hAnsi="Arial" w:cs="Arial"/>
        </w:rPr>
        <w:t xml:space="preserve"> collective agreement must be observed. In other systems, collective agreements are seen as a social peace treaty of fixed duration during which strikes an</w:t>
      </w:r>
      <w:r w:rsidR="006A5910">
        <w:rPr>
          <w:rFonts w:ascii="Arial" w:hAnsi="Arial" w:cs="Arial"/>
        </w:rPr>
        <w:t>d lockouts are prohibited. The C</w:t>
      </w:r>
      <w:r w:rsidRPr="00CC55BB">
        <w:rPr>
          <w:rFonts w:ascii="Arial" w:hAnsi="Arial" w:cs="Arial"/>
        </w:rPr>
        <w:t>ommittee considers that both these o</w:t>
      </w:r>
      <w:r w:rsidR="006A5910">
        <w:rPr>
          <w:rFonts w:ascii="Arial" w:hAnsi="Arial" w:cs="Arial"/>
        </w:rPr>
        <w:t>ptions are compatible with the C</w:t>
      </w:r>
      <w:r w:rsidRPr="00CC55BB">
        <w:rPr>
          <w:rFonts w:ascii="Arial" w:hAnsi="Arial" w:cs="Arial"/>
        </w:rPr>
        <w:t xml:space="preserve">onvention. In both types of </w:t>
      </w:r>
      <w:r w:rsidR="006A5910">
        <w:rPr>
          <w:rFonts w:ascii="Arial" w:hAnsi="Arial" w:cs="Arial"/>
        </w:rPr>
        <w:t>systems, however, worker organiz</w:t>
      </w:r>
      <w:r w:rsidRPr="00CC55BB">
        <w:rPr>
          <w:rFonts w:ascii="Arial" w:hAnsi="Arial" w:cs="Arial"/>
        </w:rPr>
        <w:t>ations should not be prevented from striking against the soc</w:t>
      </w:r>
      <w:r w:rsidR="006A5910">
        <w:rPr>
          <w:rFonts w:ascii="Arial" w:hAnsi="Arial" w:cs="Arial"/>
        </w:rPr>
        <w:t>ial and economic policy of the G</w:t>
      </w:r>
      <w:r w:rsidRPr="00CC55BB">
        <w:rPr>
          <w:rFonts w:ascii="Arial" w:hAnsi="Arial" w:cs="Arial"/>
        </w:rPr>
        <w:t>overnment</w:t>
      </w:r>
      <w:r w:rsidR="006A5910">
        <w:rPr>
          <w:rFonts w:ascii="Arial" w:hAnsi="Arial" w:cs="Arial"/>
        </w:rPr>
        <w:t>, in particular where</w:t>
      </w:r>
      <w:r w:rsidRPr="00CC55BB">
        <w:rPr>
          <w:rFonts w:ascii="Arial" w:hAnsi="Arial" w:cs="Arial"/>
        </w:rPr>
        <w:t xml:space="preserve"> the protest is not only against that policy but also against its effects on some provision</w:t>
      </w:r>
      <w:r w:rsidR="006A5910">
        <w:rPr>
          <w:rFonts w:ascii="Arial" w:hAnsi="Arial" w:cs="Arial"/>
        </w:rPr>
        <w:t xml:space="preserve">s of </w:t>
      </w:r>
      <w:r w:rsidRPr="00CC55BB">
        <w:rPr>
          <w:rFonts w:ascii="Arial" w:hAnsi="Arial" w:cs="Arial"/>
        </w:rPr>
        <w:t>collective agreement</w:t>
      </w:r>
      <w:r w:rsidR="006A5910">
        <w:rPr>
          <w:rFonts w:ascii="Arial" w:hAnsi="Arial" w:cs="Arial"/>
        </w:rPr>
        <w:t>s. If</w:t>
      </w:r>
      <w:r w:rsidRPr="00CC55BB">
        <w:rPr>
          <w:rFonts w:ascii="Arial" w:hAnsi="Arial" w:cs="Arial"/>
        </w:rPr>
        <w:t xml:space="preserve"> legislation prohibits strikes during the term of collective agreements, this restriction must be compensated by the right to have </w:t>
      </w:r>
      <w:r w:rsidR="006A5910">
        <w:rPr>
          <w:rFonts w:ascii="Arial" w:hAnsi="Arial" w:cs="Arial"/>
        </w:rPr>
        <w:t>recourse to impartial and rapid</w:t>
      </w:r>
      <w:r w:rsidRPr="00CC55BB">
        <w:rPr>
          <w:rFonts w:ascii="Arial" w:hAnsi="Arial" w:cs="Arial"/>
        </w:rPr>
        <w:t xml:space="preserve"> arbitrat</w:t>
      </w:r>
      <w:r w:rsidR="006A5910">
        <w:rPr>
          <w:rFonts w:ascii="Arial" w:hAnsi="Arial" w:cs="Arial"/>
        </w:rPr>
        <w:t xml:space="preserve">ion machinery for individual or </w:t>
      </w:r>
      <w:r w:rsidR="006A5910" w:rsidRPr="00CC55BB">
        <w:rPr>
          <w:rFonts w:ascii="Arial" w:hAnsi="Arial" w:cs="Arial"/>
        </w:rPr>
        <w:t>collective</w:t>
      </w:r>
      <w:r w:rsidRPr="00CC55BB">
        <w:rPr>
          <w:rFonts w:ascii="Arial" w:hAnsi="Arial" w:cs="Arial"/>
        </w:rPr>
        <w:t xml:space="preserve"> grievances concerning the application an interpretation of collective agreements.’</w:t>
      </w:r>
    </w:p>
    <w:p w:rsidR="00CF4A3D" w:rsidRDefault="008518D3" w:rsidP="00A826E5">
      <w:pPr>
        <w:spacing w:line="360" w:lineRule="auto"/>
        <w:ind w:left="720" w:hanging="720"/>
        <w:jc w:val="both"/>
        <w:rPr>
          <w:rFonts w:ascii="Arial" w:hAnsi="Arial" w:cs="Arial"/>
          <w:sz w:val="24"/>
          <w:szCs w:val="24"/>
        </w:rPr>
      </w:pPr>
      <w:r>
        <w:rPr>
          <w:rFonts w:ascii="Arial" w:hAnsi="Arial" w:cs="Arial"/>
          <w:sz w:val="24"/>
          <w:szCs w:val="24"/>
        </w:rPr>
        <w:t>[62</w:t>
      </w:r>
      <w:r w:rsidR="00CF4A3D">
        <w:rPr>
          <w:rFonts w:ascii="Arial" w:hAnsi="Arial" w:cs="Arial"/>
          <w:sz w:val="24"/>
          <w:szCs w:val="24"/>
        </w:rPr>
        <w:t>]</w:t>
      </w:r>
      <w:r w:rsidR="00CF4A3D">
        <w:rPr>
          <w:rFonts w:ascii="Arial" w:hAnsi="Arial" w:cs="Arial"/>
          <w:sz w:val="24"/>
          <w:szCs w:val="24"/>
        </w:rPr>
        <w:tab/>
      </w:r>
      <w:r w:rsidR="00CC55BB">
        <w:rPr>
          <w:rFonts w:ascii="Arial" w:hAnsi="Arial" w:cs="Arial"/>
          <w:sz w:val="24"/>
          <w:szCs w:val="24"/>
        </w:rPr>
        <w:t xml:space="preserve">It is self-evident that s 65 (1) (a) of the LRA complies with each element </w:t>
      </w:r>
      <w:r w:rsidR="00A370D4">
        <w:rPr>
          <w:rFonts w:ascii="Arial" w:hAnsi="Arial" w:cs="Arial"/>
          <w:sz w:val="24"/>
          <w:szCs w:val="24"/>
        </w:rPr>
        <w:t>i</w:t>
      </w:r>
      <w:r w:rsidR="00CC55BB">
        <w:rPr>
          <w:rFonts w:ascii="Arial" w:hAnsi="Arial" w:cs="Arial"/>
          <w:sz w:val="24"/>
          <w:szCs w:val="24"/>
        </w:rPr>
        <w:t>dentified by the Committee</w:t>
      </w:r>
      <w:r w:rsidR="00C17C1E">
        <w:rPr>
          <w:rFonts w:ascii="Arial" w:hAnsi="Arial" w:cs="Arial"/>
          <w:sz w:val="24"/>
          <w:szCs w:val="24"/>
        </w:rPr>
        <w:t xml:space="preserve"> of Experts</w:t>
      </w:r>
      <w:r w:rsidR="00CC55BB">
        <w:rPr>
          <w:rFonts w:ascii="Arial" w:hAnsi="Arial" w:cs="Arial"/>
          <w:sz w:val="24"/>
          <w:szCs w:val="24"/>
        </w:rPr>
        <w:t>. A strike is only prohibited during the currency of a collective agr</w:t>
      </w:r>
      <w:r w:rsidR="00C17C1E">
        <w:rPr>
          <w:rFonts w:ascii="Arial" w:hAnsi="Arial" w:cs="Arial"/>
          <w:sz w:val="24"/>
          <w:szCs w:val="24"/>
        </w:rPr>
        <w:t>eement if it contains a pea</w:t>
      </w:r>
      <w:r w:rsidR="00CC55BB">
        <w:rPr>
          <w:rFonts w:ascii="Arial" w:hAnsi="Arial" w:cs="Arial"/>
          <w:sz w:val="24"/>
          <w:szCs w:val="24"/>
        </w:rPr>
        <w:t>ce clause; protest action is not prohibited during the currency of a collective agreement (s</w:t>
      </w:r>
      <w:r w:rsidR="006A5910">
        <w:rPr>
          <w:rFonts w:ascii="Arial" w:hAnsi="Arial" w:cs="Arial"/>
          <w:sz w:val="24"/>
          <w:szCs w:val="24"/>
        </w:rPr>
        <w:t>ee s 77); and collective agreements are required by s 24 to</w:t>
      </w:r>
      <w:r w:rsidR="00CC55BB">
        <w:rPr>
          <w:rFonts w:ascii="Arial" w:hAnsi="Arial" w:cs="Arial"/>
          <w:sz w:val="24"/>
          <w:szCs w:val="24"/>
        </w:rPr>
        <w:t xml:space="preserve"> provide for the conciliation and arbitration of disputes about its application and interpretation. </w:t>
      </w:r>
    </w:p>
    <w:p w:rsidR="00C17C1E" w:rsidRDefault="008518D3" w:rsidP="00A826E5">
      <w:pPr>
        <w:spacing w:line="360" w:lineRule="auto"/>
        <w:ind w:left="720" w:hanging="720"/>
        <w:jc w:val="both"/>
        <w:rPr>
          <w:rFonts w:ascii="Arial" w:hAnsi="Arial" w:cs="Arial"/>
          <w:sz w:val="24"/>
          <w:szCs w:val="24"/>
        </w:rPr>
      </w:pPr>
      <w:r>
        <w:rPr>
          <w:rFonts w:ascii="Arial" w:hAnsi="Arial" w:cs="Arial"/>
          <w:sz w:val="24"/>
          <w:szCs w:val="24"/>
        </w:rPr>
        <w:t>[63</w:t>
      </w:r>
      <w:r w:rsidR="00CC55BB">
        <w:rPr>
          <w:rFonts w:ascii="Arial" w:hAnsi="Arial" w:cs="Arial"/>
          <w:sz w:val="24"/>
          <w:szCs w:val="24"/>
        </w:rPr>
        <w:t>]</w:t>
      </w:r>
      <w:r w:rsidR="00CC55BB">
        <w:rPr>
          <w:rFonts w:ascii="Arial" w:hAnsi="Arial" w:cs="Arial"/>
          <w:sz w:val="24"/>
          <w:szCs w:val="24"/>
        </w:rPr>
        <w:tab/>
      </w:r>
      <w:r w:rsidR="00C17C1E">
        <w:rPr>
          <w:rFonts w:ascii="Arial" w:hAnsi="Arial" w:cs="Arial"/>
          <w:sz w:val="24"/>
          <w:szCs w:val="24"/>
        </w:rPr>
        <w:t>Article 4 of C</w:t>
      </w:r>
      <w:r w:rsidR="002052AA">
        <w:rPr>
          <w:rFonts w:ascii="Arial" w:hAnsi="Arial" w:cs="Arial"/>
          <w:sz w:val="24"/>
          <w:szCs w:val="24"/>
        </w:rPr>
        <w:t xml:space="preserve">onvention 98 requires member states to take measures appropriate to national conditions </w:t>
      </w:r>
      <w:r w:rsidR="002052AA" w:rsidRPr="00C17C1E">
        <w:rPr>
          <w:rFonts w:ascii="Arial" w:hAnsi="Arial" w:cs="Arial"/>
          <w:i/>
          <w:sz w:val="24"/>
          <w:szCs w:val="24"/>
        </w:rPr>
        <w:t>’to encourage and promote the full development and utilisation of machinery for voluntary negotiation between employers or employer organisation and workers organisations</w:t>
      </w:r>
      <w:r w:rsidR="002052AA">
        <w:rPr>
          <w:rFonts w:ascii="Arial" w:hAnsi="Arial" w:cs="Arial"/>
          <w:sz w:val="24"/>
          <w:szCs w:val="24"/>
        </w:rPr>
        <w:t xml:space="preserve">.’ </w:t>
      </w:r>
      <w:r w:rsidR="00C17C1E">
        <w:rPr>
          <w:rFonts w:ascii="Arial" w:hAnsi="Arial" w:cs="Arial"/>
          <w:sz w:val="24"/>
          <w:szCs w:val="24"/>
        </w:rPr>
        <w:t>The Committee of Experts ha</w:t>
      </w:r>
      <w:r w:rsidR="00CC55BB">
        <w:rPr>
          <w:rFonts w:ascii="Arial" w:hAnsi="Arial" w:cs="Arial"/>
          <w:sz w:val="24"/>
          <w:szCs w:val="24"/>
        </w:rPr>
        <w:t>s emphasised that the two essential elements to this obligation. The first is action by public authorities to promote colle</w:t>
      </w:r>
      <w:r w:rsidR="00C17C1E">
        <w:rPr>
          <w:rFonts w:ascii="Arial" w:hAnsi="Arial" w:cs="Arial"/>
          <w:sz w:val="24"/>
          <w:szCs w:val="24"/>
        </w:rPr>
        <w:t>ctive bargaining; the second is</w:t>
      </w:r>
      <w:r w:rsidR="006A5910">
        <w:rPr>
          <w:rFonts w:ascii="Arial" w:hAnsi="Arial" w:cs="Arial"/>
          <w:sz w:val="24"/>
          <w:szCs w:val="24"/>
        </w:rPr>
        <w:t xml:space="preserve"> the voluntary nature of collective bargaining</w:t>
      </w:r>
      <w:r w:rsidR="00C17C1E">
        <w:rPr>
          <w:rFonts w:ascii="Arial" w:hAnsi="Arial" w:cs="Arial"/>
          <w:sz w:val="24"/>
          <w:szCs w:val="24"/>
        </w:rPr>
        <w:t>, which implies the autonomy</w:t>
      </w:r>
      <w:r w:rsidR="00CC55BB">
        <w:rPr>
          <w:rFonts w:ascii="Arial" w:hAnsi="Arial" w:cs="Arial"/>
          <w:sz w:val="24"/>
          <w:szCs w:val="24"/>
        </w:rPr>
        <w:t xml:space="preserve"> of the barg</w:t>
      </w:r>
      <w:r w:rsidR="00C17C1E">
        <w:rPr>
          <w:rFonts w:ascii="Arial" w:hAnsi="Arial" w:cs="Arial"/>
          <w:sz w:val="24"/>
          <w:szCs w:val="24"/>
        </w:rPr>
        <w:t>aining parties.</w:t>
      </w:r>
    </w:p>
    <w:p w:rsidR="00120822" w:rsidRDefault="008518D3" w:rsidP="00A826E5">
      <w:pPr>
        <w:spacing w:line="360" w:lineRule="auto"/>
        <w:ind w:left="720" w:hanging="720"/>
        <w:jc w:val="both"/>
        <w:rPr>
          <w:rFonts w:ascii="Arial" w:hAnsi="Arial" w:cs="Arial"/>
          <w:sz w:val="24"/>
          <w:szCs w:val="24"/>
        </w:rPr>
      </w:pPr>
      <w:r>
        <w:rPr>
          <w:rFonts w:ascii="Arial" w:hAnsi="Arial" w:cs="Arial"/>
          <w:sz w:val="24"/>
          <w:szCs w:val="24"/>
        </w:rPr>
        <w:t>[64</w:t>
      </w:r>
      <w:r w:rsidR="00EB219E">
        <w:rPr>
          <w:rFonts w:ascii="Arial" w:hAnsi="Arial" w:cs="Arial"/>
          <w:sz w:val="24"/>
          <w:szCs w:val="24"/>
        </w:rPr>
        <w:t>]</w:t>
      </w:r>
      <w:r w:rsidR="00EB219E">
        <w:rPr>
          <w:rFonts w:ascii="Arial" w:hAnsi="Arial" w:cs="Arial"/>
          <w:sz w:val="24"/>
          <w:szCs w:val="24"/>
        </w:rPr>
        <w:tab/>
      </w:r>
      <w:r w:rsidR="00C17C1E">
        <w:rPr>
          <w:rFonts w:ascii="Arial" w:hAnsi="Arial" w:cs="Arial"/>
          <w:sz w:val="24"/>
          <w:szCs w:val="24"/>
        </w:rPr>
        <w:t>With</w:t>
      </w:r>
      <w:r w:rsidR="003E66E8">
        <w:rPr>
          <w:rFonts w:ascii="Arial" w:hAnsi="Arial" w:cs="Arial"/>
          <w:sz w:val="24"/>
          <w:szCs w:val="24"/>
        </w:rPr>
        <w:t xml:space="preserve"> regard </w:t>
      </w:r>
      <w:r w:rsidR="00C17C1E">
        <w:rPr>
          <w:rFonts w:ascii="Arial" w:hAnsi="Arial" w:cs="Arial"/>
          <w:sz w:val="24"/>
          <w:szCs w:val="24"/>
        </w:rPr>
        <w:t xml:space="preserve">particularly </w:t>
      </w:r>
      <w:r w:rsidR="003E66E8">
        <w:rPr>
          <w:rFonts w:ascii="Arial" w:hAnsi="Arial" w:cs="Arial"/>
          <w:sz w:val="24"/>
          <w:szCs w:val="24"/>
        </w:rPr>
        <w:t>to the extension</w:t>
      </w:r>
      <w:r w:rsidR="00C17C1E">
        <w:rPr>
          <w:rFonts w:ascii="Arial" w:hAnsi="Arial" w:cs="Arial"/>
          <w:sz w:val="24"/>
          <w:szCs w:val="24"/>
        </w:rPr>
        <w:t xml:space="preserve"> of collective agreements, the Collective Agreements Recommendation, 1951 (No 91) provides in A</w:t>
      </w:r>
      <w:r w:rsidR="005D643D">
        <w:rPr>
          <w:rFonts w:ascii="Arial" w:hAnsi="Arial" w:cs="Arial"/>
          <w:sz w:val="24"/>
          <w:szCs w:val="24"/>
        </w:rPr>
        <w:t>rticle 4 of that ‘</w:t>
      </w:r>
      <w:r w:rsidR="005D643D" w:rsidRPr="00C17C1E">
        <w:rPr>
          <w:rFonts w:ascii="Arial" w:hAnsi="Arial" w:cs="Arial"/>
          <w:i/>
          <w:sz w:val="24"/>
          <w:szCs w:val="24"/>
        </w:rPr>
        <w:t>the stipulations of a collective agreement should apply to all workers concerned employed in the undertakings covered by the agreement unless the agreement specifically provides to the contrary.</w:t>
      </w:r>
      <w:r w:rsidR="00C17C1E">
        <w:rPr>
          <w:rFonts w:ascii="Arial" w:hAnsi="Arial" w:cs="Arial"/>
          <w:sz w:val="24"/>
          <w:szCs w:val="24"/>
        </w:rPr>
        <w:t xml:space="preserve"> In a gloss on Recommendation 91, the </w:t>
      </w:r>
      <w:r w:rsidR="00C17C1E">
        <w:rPr>
          <w:rFonts w:ascii="Arial" w:hAnsi="Arial" w:cs="Arial"/>
          <w:sz w:val="24"/>
          <w:szCs w:val="24"/>
        </w:rPr>
        <w:lastRenderedPageBreak/>
        <w:t>Committee of E</w:t>
      </w:r>
      <w:r w:rsidR="005D643D">
        <w:rPr>
          <w:rFonts w:ascii="Arial" w:hAnsi="Arial" w:cs="Arial"/>
          <w:sz w:val="24"/>
          <w:szCs w:val="24"/>
        </w:rPr>
        <w:t xml:space="preserve">xperts </w:t>
      </w:r>
      <w:r w:rsidR="00C17C1E">
        <w:rPr>
          <w:rFonts w:ascii="Arial" w:hAnsi="Arial" w:cs="Arial"/>
          <w:sz w:val="24"/>
          <w:szCs w:val="24"/>
        </w:rPr>
        <w:t>states at paragraph 245 of the General S</w:t>
      </w:r>
      <w:r w:rsidR="005D643D">
        <w:rPr>
          <w:rFonts w:ascii="Arial" w:hAnsi="Arial" w:cs="Arial"/>
          <w:sz w:val="24"/>
          <w:szCs w:val="24"/>
        </w:rPr>
        <w:t>urvey that ‘</w:t>
      </w:r>
      <w:r w:rsidR="005D643D" w:rsidRPr="00C17C1E">
        <w:rPr>
          <w:rFonts w:ascii="Arial" w:hAnsi="Arial" w:cs="Arial"/>
          <w:i/>
          <w:sz w:val="24"/>
          <w:szCs w:val="24"/>
        </w:rPr>
        <w:t>extension of collective agreements is not contrary to the principle of voluntary collective bargaining and is not in violation of conve</w:t>
      </w:r>
      <w:r w:rsidR="00A552C9">
        <w:rPr>
          <w:rFonts w:ascii="Arial" w:hAnsi="Arial" w:cs="Arial"/>
          <w:i/>
          <w:sz w:val="24"/>
          <w:szCs w:val="24"/>
        </w:rPr>
        <w:t>ntion 98. The Committee of E</w:t>
      </w:r>
      <w:r w:rsidR="00A370D4" w:rsidRPr="00C17C1E">
        <w:rPr>
          <w:rFonts w:ascii="Arial" w:hAnsi="Arial" w:cs="Arial"/>
          <w:i/>
          <w:sz w:val="24"/>
          <w:szCs w:val="24"/>
        </w:rPr>
        <w:t xml:space="preserve">xperts </w:t>
      </w:r>
      <w:r w:rsidR="005D643D" w:rsidRPr="00C17C1E">
        <w:rPr>
          <w:rFonts w:ascii="Arial" w:hAnsi="Arial" w:cs="Arial"/>
          <w:i/>
          <w:sz w:val="24"/>
          <w:szCs w:val="24"/>
        </w:rPr>
        <w:t>that such measures envisaged in several countries</w:t>
      </w:r>
      <w:r w:rsidR="005D643D">
        <w:rPr>
          <w:rFonts w:ascii="Arial" w:hAnsi="Arial" w:cs="Arial"/>
          <w:sz w:val="24"/>
          <w:szCs w:val="24"/>
        </w:rPr>
        <w:t xml:space="preserve">. </w:t>
      </w:r>
    </w:p>
    <w:p w:rsidR="005D643D" w:rsidRDefault="008518D3" w:rsidP="00A826E5">
      <w:pPr>
        <w:spacing w:line="360" w:lineRule="auto"/>
        <w:ind w:left="720" w:hanging="720"/>
        <w:jc w:val="both"/>
        <w:rPr>
          <w:rFonts w:ascii="Arial" w:hAnsi="Arial" w:cs="Arial"/>
          <w:sz w:val="24"/>
          <w:szCs w:val="24"/>
        </w:rPr>
      </w:pPr>
      <w:r>
        <w:rPr>
          <w:rFonts w:ascii="Arial" w:hAnsi="Arial" w:cs="Arial"/>
          <w:sz w:val="24"/>
          <w:szCs w:val="24"/>
        </w:rPr>
        <w:t>[65</w:t>
      </w:r>
      <w:r w:rsidR="00120822">
        <w:rPr>
          <w:rFonts w:ascii="Arial" w:hAnsi="Arial" w:cs="Arial"/>
          <w:sz w:val="24"/>
          <w:szCs w:val="24"/>
        </w:rPr>
        <w:t>]</w:t>
      </w:r>
      <w:r w:rsidR="00120822">
        <w:rPr>
          <w:rFonts w:ascii="Arial" w:hAnsi="Arial" w:cs="Arial"/>
          <w:sz w:val="24"/>
          <w:szCs w:val="24"/>
        </w:rPr>
        <w:tab/>
      </w:r>
      <w:r w:rsidR="005D643D">
        <w:rPr>
          <w:rFonts w:ascii="Arial" w:hAnsi="Arial" w:cs="Arial"/>
          <w:sz w:val="24"/>
          <w:szCs w:val="24"/>
        </w:rPr>
        <w:t xml:space="preserve">Similarly, the CFA has </w:t>
      </w:r>
      <w:r w:rsidR="00C17C1E">
        <w:rPr>
          <w:rFonts w:ascii="Arial" w:hAnsi="Arial" w:cs="Arial"/>
          <w:sz w:val="24"/>
          <w:szCs w:val="24"/>
        </w:rPr>
        <w:t>noted at paragraph 1052 of the D</w:t>
      </w:r>
      <w:r w:rsidR="005D643D">
        <w:rPr>
          <w:rFonts w:ascii="Arial" w:hAnsi="Arial" w:cs="Arial"/>
          <w:sz w:val="24"/>
          <w:szCs w:val="24"/>
        </w:rPr>
        <w:t>igest:</w:t>
      </w:r>
    </w:p>
    <w:p w:rsidR="005D643D" w:rsidRDefault="00A552C9" w:rsidP="003E66E8">
      <w:pPr>
        <w:spacing w:line="360" w:lineRule="auto"/>
        <w:ind w:left="1440"/>
        <w:jc w:val="both"/>
        <w:rPr>
          <w:rFonts w:ascii="Arial" w:hAnsi="Arial" w:cs="Arial"/>
          <w:sz w:val="24"/>
          <w:szCs w:val="24"/>
        </w:rPr>
      </w:pPr>
      <w:r>
        <w:rPr>
          <w:rFonts w:ascii="Arial" w:hAnsi="Arial" w:cs="Arial"/>
          <w:sz w:val="24"/>
          <w:szCs w:val="24"/>
        </w:rPr>
        <w:t>‘</w:t>
      </w:r>
      <w:r w:rsidR="003E66E8" w:rsidRPr="003E66E8">
        <w:rPr>
          <w:rFonts w:ascii="Arial" w:hAnsi="Arial" w:cs="Arial"/>
        </w:rPr>
        <w:t>W</w:t>
      </w:r>
      <w:r w:rsidR="005D643D" w:rsidRPr="003E66E8">
        <w:rPr>
          <w:rFonts w:ascii="Arial" w:hAnsi="Arial" w:cs="Arial"/>
        </w:rPr>
        <w:t>hen the extension of the agreement applies to non</w:t>
      </w:r>
      <w:r w:rsidR="003E66E8">
        <w:rPr>
          <w:rFonts w:ascii="Arial" w:hAnsi="Arial" w:cs="Arial"/>
        </w:rPr>
        <w:t>-</w:t>
      </w:r>
      <w:r w:rsidR="005D643D" w:rsidRPr="003E66E8">
        <w:rPr>
          <w:rFonts w:ascii="Arial" w:hAnsi="Arial" w:cs="Arial"/>
        </w:rPr>
        <w:t>member workers of enterprises covered by the collective agreement, the situation in principle does not contradic</w:t>
      </w:r>
      <w:r w:rsidR="003E66E8">
        <w:rPr>
          <w:rFonts w:ascii="Arial" w:hAnsi="Arial" w:cs="Arial"/>
        </w:rPr>
        <w:t>t the principles of freedom of association, inso</w:t>
      </w:r>
      <w:r w:rsidR="005D643D" w:rsidRPr="003E66E8">
        <w:rPr>
          <w:rFonts w:ascii="Arial" w:hAnsi="Arial" w:cs="Arial"/>
        </w:rPr>
        <w:t>far as under law it is the most representative organisation that negotiates on behalf of all workers, and the enterprises are not composed of several establishments (a situation in which the decision respe</w:t>
      </w:r>
      <w:r w:rsidR="003E66E8" w:rsidRPr="003E66E8">
        <w:rPr>
          <w:rFonts w:ascii="Arial" w:hAnsi="Arial" w:cs="Arial"/>
        </w:rPr>
        <w:t>cting extension should be left</w:t>
      </w:r>
      <w:r w:rsidR="005D643D" w:rsidRPr="003E66E8">
        <w:rPr>
          <w:rFonts w:ascii="Arial" w:hAnsi="Arial" w:cs="Arial"/>
        </w:rPr>
        <w:t xml:space="preserve"> the parties).</w:t>
      </w:r>
    </w:p>
    <w:p w:rsidR="00EB219E" w:rsidRPr="00EB219E" w:rsidRDefault="00EB219E" w:rsidP="00EB219E">
      <w:pPr>
        <w:spacing w:line="360" w:lineRule="auto"/>
        <w:ind w:left="720" w:hanging="720"/>
        <w:jc w:val="both"/>
        <w:rPr>
          <w:rFonts w:ascii="Arial" w:hAnsi="Arial" w:cs="Arial"/>
          <w:sz w:val="24"/>
          <w:szCs w:val="24"/>
        </w:rPr>
      </w:pPr>
      <w:r>
        <w:rPr>
          <w:rFonts w:ascii="Arial" w:hAnsi="Arial" w:cs="Arial"/>
          <w:sz w:val="24"/>
          <w:szCs w:val="24"/>
        </w:rPr>
        <w:t xml:space="preserve"> </w:t>
      </w:r>
      <w:r w:rsidR="008518D3">
        <w:rPr>
          <w:rFonts w:ascii="Arial" w:hAnsi="Arial" w:cs="Arial"/>
          <w:sz w:val="24"/>
          <w:szCs w:val="24"/>
        </w:rPr>
        <w:t>[66</w:t>
      </w:r>
      <w:r w:rsidR="005D643D">
        <w:rPr>
          <w:rFonts w:ascii="Arial" w:hAnsi="Arial" w:cs="Arial"/>
          <w:sz w:val="24"/>
          <w:szCs w:val="24"/>
        </w:rPr>
        <w:t>]</w:t>
      </w:r>
      <w:r w:rsidR="005D643D">
        <w:rPr>
          <w:rFonts w:ascii="Arial" w:hAnsi="Arial" w:cs="Arial"/>
          <w:sz w:val="24"/>
          <w:szCs w:val="24"/>
        </w:rPr>
        <w:tab/>
      </w:r>
      <w:r w:rsidR="00311DF5">
        <w:rPr>
          <w:rFonts w:ascii="Arial" w:hAnsi="Arial" w:cs="Arial"/>
          <w:sz w:val="24"/>
          <w:szCs w:val="24"/>
        </w:rPr>
        <w:t xml:space="preserve">Consistent with </w:t>
      </w:r>
      <w:r w:rsidR="00B11FDD">
        <w:rPr>
          <w:rFonts w:ascii="Arial" w:hAnsi="Arial" w:cs="Arial"/>
          <w:sz w:val="24"/>
          <w:szCs w:val="24"/>
        </w:rPr>
        <w:t>these</w:t>
      </w:r>
      <w:r w:rsidR="00311DF5">
        <w:rPr>
          <w:rFonts w:ascii="Arial" w:hAnsi="Arial" w:cs="Arial"/>
          <w:sz w:val="24"/>
          <w:szCs w:val="24"/>
        </w:rPr>
        <w:t xml:space="preserve"> prov</w:t>
      </w:r>
      <w:r w:rsidR="00B11FDD">
        <w:rPr>
          <w:rFonts w:ascii="Arial" w:hAnsi="Arial" w:cs="Arial"/>
          <w:sz w:val="24"/>
          <w:szCs w:val="24"/>
        </w:rPr>
        <w:t>i</w:t>
      </w:r>
      <w:r w:rsidR="00311DF5">
        <w:rPr>
          <w:rFonts w:ascii="Arial" w:hAnsi="Arial" w:cs="Arial"/>
          <w:sz w:val="24"/>
          <w:szCs w:val="24"/>
        </w:rPr>
        <w:t xml:space="preserve">sions, many other </w:t>
      </w:r>
      <w:r w:rsidR="00B11FDD">
        <w:rPr>
          <w:rFonts w:ascii="Arial" w:hAnsi="Arial" w:cs="Arial"/>
          <w:sz w:val="24"/>
          <w:szCs w:val="24"/>
        </w:rPr>
        <w:t>jurisdictions</w:t>
      </w:r>
      <w:r w:rsidR="00311DF5">
        <w:rPr>
          <w:rFonts w:ascii="Arial" w:hAnsi="Arial" w:cs="Arial"/>
          <w:sz w:val="24"/>
          <w:szCs w:val="24"/>
        </w:rPr>
        <w:t xml:space="preserve">, especially </w:t>
      </w:r>
      <w:r w:rsidR="00B11FDD">
        <w:rPr>
          <w:rFonts w:ascii="Arial" w:hAnsi="Arial" w:cs="Arial"/>
          <w:sz w:val="24"/>
          <w:szCs w:val="24"/>
        </w:rPr>
        <w:t>those</w:t>
      </w:r>
      <w:r w:rsidR="00311DF5">
        <w:rPr>
          <w:rFonts w:ascii="Arial" w:hAnsi="Arial" w:cs="Arial"/>
          <w:sz w:val="24"/>
          <w:szCs w:val="24"/>
        </w:rPr>
        <w:t xml:space="preserve"> in continental Europe, provide for </w:t>
      </w:r>
      <w:r w:rsidR="00B11FDD">
        <w:rPr>
          <w:rFonts w:ascii="Arial" w:hAnsi="Arial" w:cs="Arial"/>
          <w:sz w:val="24"/>
          <w:szCs w:val="24"/>
        </w:rPr>
        <w:t>the</w:t>
      </w:r>
      <w:r w:rsidR="00311DF5">
        <w:rPr>
          <w:rFonts w:ascii="Arial" w:hAnsi="Arial" w:cs="Arial"/>
          <w:sz w:val="24"/>
          <w:szCs w:val="24"/>
        </w:rPr>
        <w:t xml:space="preserve"> extension of multi-employer agreem</w:t>
      </w:r>
      <w:r w:rsidR="00B11FDD">
        <w:rPr>
          <w:rFonts w:ascii="Arial" w:hAnsi="Arial" w:cs="Arial"/>
          <w:sz w:val="24"/>
          <w:szCs w:val="24"/>
        </w:rPr>
        <w:t>e</w:t>
      </w:r>
      <w:r w:rsidR="00311DF5">
        <w:rPr>
          <w:rFonts w:ascii="Arial" w:hAnsi="Arial" w:cs="Arial"/>
          <w:sz w:val="24"/>
          <w:szCs w:val="24"/>
        </w:rPr>
        <w:t xml:space="preserve">nts to all </w:t>
      </w:r>
      <w:r w:rsidR="00B11FDD">
        <w:rPr>
          <w:rFonts w:ascii="Arial" w:hAnsi="Arial" w:cs="Arial"/>
          <w:sz w:val="24"/>
          <w:szCs w:val="24"/>
        </w:rPr>
        <w:t>enterprises in a particular industry or geographic area, either through law or other administrative means.</w:t>
      </w:r>
      <w:r w:rsidR="00B11FDD">
        <w:rPr>
          <w:rStyle w:val="FootnoteReference"/>
          <w:rFonts w:ascii="Arial" w:hAnsi="Arial" w:cs="Arial"/>
          <w:sz w:val="24"/>
          <w:szCs w:val="24"/>
        </w:rPr>
        <w:footnoteReference w:id="27"/>
      </w:r>
      <w:r w:rsidR="00B11FDD">
        <w:rPr>
          <w:rFonts w:ascii="Arial" w:hAnsi="Arial" w:cs="Arial"/>
          <w:sz w:val="24"/>
          <w:szCs w:val="24"/>
        </w:rPr>
        <w:t xml:space="preserve"> Although these systems typically involve the extension of sectoral level agreements, the principle of the extension of collective agreements to non-parties and their binding effect is one that is recognised and applied. </w:t>
      </w:r>
      <w:r w:rsidRPr="00EB219E">
        <w:rPr>
          <w:rFonts w:ascii="Arial" w:hAnsi="Arial" w:cs="Arial"/>
          <w:sz w:val="24"/>
          <w:szCs w:val="24"/>
        </w:rPr>
        <w:t>International labour standards</w:t>
      </w:r>
      <w:r w:rsidR="00B11FDD">
        <w:rPr>
          <w:rFonts w:ascii="Arial" w:hAnsi="Arial" w:cs="Arial"/>
          <w:sz w:val="24"/>
          <w:szCs w:val="24"/>
        </w:rPr>
        <w:t xml:space="preserve"> and practice</w:t>
      </w:r>
      <w:r w:rsidRPr="00EB219E">
        <w:rPr>
          <w:rFonts w:ascii="Arial" w:hAnsi="Arial" w:cs="Arial"/>
          <w:sz w:val="24"/>
          <w:szCs w:val="24"/>
        </w:rPr>
        <w:t xml:space="preserve"> therefore recognise and permit systems of collective bargaining with exclusive rights for the most representative trade union and those where it is possible for a number of collective agreements to be concluded by number of trade unions within a </w:t>
      </w:r>
      <w:r>
        <w:rPr>
          <w:rFonts w:ascii="Arial" w:hAnsi="Arial" w:cs="Arial"/>
          <w:sz w:val="24"/>
          <w:szCs w:val="24"/>
        </w:rPr>
        <w:t xml:space="preserve">company. They also </w:t>
      </w:r>
      <w:r w:rsidR="00B11FDD">
        <w:rPr>
          <w:rFonts w:ascii="Arial" w:hAnsi="Arial" w:cs="Arial"/>
          <w:sz w:val="24"/>
          <w:szCs w:val="24"/>
        </w:rPr>
        <w:t>recognise</w:t>
      </w:r>
      <w:r>
        <w:rPr>
          <w:rFonts w:ascii="Arial" w:hAnsi="Arial" w:cs="Arial"/>
          <w:sz w:val="24"/>
          <w:szCs w:val="24"/>
        </w:rPr>
        <w:t xml:space="preserve"> the legitimacy of the extension of collective agreements concluded between an employer and a majority union to non-parties.</w:t>
      </w:r>
    </w:p>
    <w:p w:rsidR="00D03ED2" w:rsidRDefault="008518D3" w:rsidP="00BB23B4">
      <w:pPr>
        <w:spacing w:line="360" w:lineRule="auto"/>
        <w:ind w:left="720" w:hanging="720"/>
        <w:jc w:val="both"/>
        <w:rPr>
          <w:rFonts w:ascii="Arial" w:hAnsi="Arial" w:cs="Arial"/>
          <w:sz w:val="24"/>
          <w:szCs w:val="24"/>
        </w:rPr>
      </w:pPr>
      <w:r>
        <w:rPr>
          <w:rFonts w:ascii="Arial" w:hAnsi="Arial" w:cs="Arial"/>
          <w:sz w:val="24"/>
          <w:szCs w:val="24"/>
        </w:rPr>
        <w:t>[67</w:t>
      </w:r>
      <w:r w:rsidR="00EB219E">
        <w:rPr>
          <w:rFonts w:ascii="Arial" w:hAnsi="Arial" w:cs="Arial"/>
          <w:sz w:val="24"/>
          <w:szCs w:val="24"/>
        </w:rPr>
        <w:t>]</w:t>
      </w:r>
      <w:r w:rsidR="00EB219E">
        <w:rPr>
          <w:rFonts w:ascii="Arial" w:hAnsi="Arial" w:cs="Arial"/>
          <w:sz w:val="24"/>
          <w:szCs w:val="24"/>
        </w:rPr>
        <w:tab/>
        <w:t>The importance and functionality of the extension of collective agreements to bind non-parties was recognised under the dispensation that applied under the 1956 LRA. In</w:t>
      </w:r>
      <w:r w:rsidR="00D03ED2">
        <w:rPr>
          <w:rFonts w:ascii="Arial" w:hAnsi="Arial" w:cs="Arial"/>
          <w:sz w:val="24"/>
          <w:szCs w:val="24"/>
        </w:rPr>
        <w:t xml:space="preserve"> 1989, Clive Thompson wrote an article in which he was critical of a number of </w:t>
      </w:r>
      <w:r w:rsidR="00790F45">
        <w:rPr>
          <w:rFonts w:ascii="Arial" w:hAnsi="Arial" w:cs="Arial"/>
          <w:sz w:val="24"/>
          <w:szCs w:val="24"/>
        </w:rPr>
        <w:t>judgments</w:t>
      </w:r>
      <w:r w:rsidR="00EB219E">
        <w:rPr>
          <w:rFonts w:ascii="Arial" w:hAnsi="Arial" w:cs="Arial"/>
          <w:sz w:val="24"/>
          <w:szCs w:val="24"/>
        </w:rPr>
        <w:t xml:space="preserve"> by the industrial c</w:t>
      </w:r>
      <w:r w:rsidR="00BB23B4">
        <w:rPr>
          <w:rFonts w:ascii="Arial" w:hAnsi="Arial" w:cs="Arial"/>
          <w:sz w:val="24"/>
          <w:szCs w:val="24"/>
        </w:rPr>
        <w:t xml:space="preserve">ourt in which the court </w:t>
      </w:r>
      <w:r w:rsidR="00D03ED2">
        <w:rPr>
          <w:rFonts w:ascii="Arial" w:hAnsi="Arial" w:cs="Arial"/>
          <w:sz w:val="24"/>
          <w:szCs w:val="24"/>
        </w:rPr>
        <w:t xml:space="preserve">appeared to recognise the right of individual employees to negotiate with their employer </w:t>
      </w:r>
      <w:r w:rsidR="00D03ED2">
        <w:rPr>
          <w:rFonts w:ascii="Arial" w:hAnsi="Arial" w:cs="Arial"/>
          <w:sz w:val="24"/>
          <w:szCs w:val="24"/>
        </w:rPr>
        <w:lastRenderedPageBreak/>
        <w:t>regardless of any agreement concluded between the employer and a majority union. Thom</w:t>
      </w:r>
      <w:r w:rsidR="009A0621">
        <w:rPr>
          <w:rFonts w:ascii="Arial" w:hAnsi="Arial" w:cs="Arial"/>
          <w:sz w:val="24"/>
          <w:szCs w:val="24"/>
        </w:rPr>
        <w:t>p</w:t>
      </w:r>
      <w:r w:rsidR="00EB219E">
        <w:rPr>
          <w:rFonts w:ascii="Arial" w:hAnsi="Arial" w:cs="Arial"/>
          <w:sz w:val="24"/>
          <w:szCs w:val="24"/>
        </w:rPr>
        <w:t>son’s comment</w:t>
      </w:r>
      <w:r w:rsidR="00BB23B4">
        <w:rPr>
          <w:rFonts w:ascii="Arial" w:hAnsi="Arial" w:cs="Arial"/>
          <w:sz w:val="24"/>
          <w:szCs w:val="24"/>
        </w:rPr>
        <w:t xml:space="preserve"> </w:t>
      </w:r>
      <w:r w:rsidR="00BB23B4">
        <w:rPr>
          <w:rStyle w:val="FootnoteReference"/>
          <w:rFonts w:ascii="Arial" w:hAnsi="Arial" w:cs="Arial"/>
          <w:sz w:val="24"/>
          <w:szCs w:val="24"/>
        </w:rPr>
        <w:footnoteReference w:id="28"/>
      </w:r>
      <w:r w:rsidR="00BB23B4">
        <w:rPr>
          <w:rFonts w:ascii="Arial" w:hAnsi="Arial" w:cs="Arial"/>
          <w:sz w:val="24"/>
          <w:szCs w:val="24"/>
        </w:rPr>
        <w:t xml:space="preserve"> </w:t>
      </w:r>
      <w:r w:rsidR="00EB219E">
        <w:rPr>
          <w:rFonts w:ascii="Arial" w:hAnsi="Arial" w:cs="Arial"/>
          <w:sz w:val="24"/>
          <w:szCs w:val="24"/>
        </w:rPr>
        <w:t xml:space="preserve"> </w:t>
      </w:r>
      <w:r w:rsidR="00D03ED2">
        <w:rPr>
          <w:rFonts w:ascii="Arial" w:hAnsi="Arial" w:cs="Arial"/>
          <w:sz w:val="24"/>
          <w:szCs w:val="24"/>
        </w:rPr>
        <w:t>holds true</w:t>
      </w:r>
      <w:r w:rsidR="00A552C9">
        <w:rPr>
          <w:rFonts w:ascii="Arial" w:hAnsi="Arial" w:cs="Arial"/>
          <w:sz w:val="24"/>
          <w:szCs w:val="24"/>
        </w:rPr>
        <w:t xml:space="preserve"> in the current legislative dispensation</w:t>
      </w:r>
      <w:r w:rsidR="00D03ED2">
        <w:rPr>
          <w:rFonts w:ascii="Arial" w:hAnsi="Arial" w:cs="Arial"/>
          <w:sz w:val="24"/>
          <w:szCs w:val="24"/>
        </w:rPr>
        <w:t xml:space="preserve">: </w:t>
      </w:r>
    </w:p>
    <w:p w:rsidR="00D03ED2" w:rsidRDefault="00D03ED2" w:rsidP="00BB23B4">
      <w:pPr>
        <w:spacing w:line="360" w:lineRule="auto"/>
        <w:ind w:left="1440"/>
        <w:jc w:val="both"/>
        <w:rPr>
          <w:rFonts w:ascii="Arial" w:hAnsi="Arial" w:cs="Arial"/>
          <w:sz w:val="24"/>
          <w:szCs w:val="24"/>
        </w:rPr>
      </w:pPr>
      <w:r>
        <w:rPr>
          <w:rFonts w:ascii="Arial" w:hAnsi="Arial" w:cs="Arial"/>
          <w:sz w:val="24"/>
          <w:szCs w:val="24"/>
        </w:rPr>
        <w:t>‘</w:t>
      </w:r>
      <w:r>
        <w:rPr>
          <w:rFonts w:ascii="Arial" w:hAnsi="Arial" w:cs="Arial"/>
          <w:szCs w:val="24"/>
        </w:rPr>
        <w:t xml:space="preserve">And if the non-unionised employees (or </w:t>
      </w:r>
      <w:r w:rsidR="00BB23B4">
        <w:rPr>
          <w:rFonts w:ascii="Arial" w:hAnsi="Arial" w:cs="Arial"/>
          <w:szCs w:val="24"/>
        </w:rPr>
        <w:t>perhaps even the disgruntled members?) m</w:t>
      </w:r>
      <w:r>
        <w:rPr>
          <w:rFonts w:ascii="Arial" w:hAnsi="Arial" w:cs="Arial"/>
          <w:szCs w:val="24"/>
        </w:rPr>
        <w:t>ay assert that right, they must be at liberty also to reject any employer attempt to make it a condition of employment that they accepted the wage deals negotiated by representative trade unions. And so the con</w:t>
      </w:r>
      <w:r w:rsidR="00BB23B4">
        <w:rPr>
          <w:rFonts w:ascii="Arial" w:hAnsi="Arial" w:cs="Arial"/>
          <w:szCs w:val="24"/>
        </w:rPr>
        <w:t>cept of the binding, uniform pea</w:t>
      </w:r>
      <w:r>
        <w:rPr>
          <w:rFonts w:ascii="Arial" w:hAnsi="Arial" w:cs="Arial"/>
          <w:szCs w:val="24"/>
        </w:rPr>
        <w:t>ce obligation is forfeited as well.</w:t>
      </w:r>
    </w:p>
    <w:p w:rsidR="00D03ED2" w:rsidRDefault="00D03ED2" w:rsidP="00D03ED2">
      <w:pPr>
        <w:spacing w:line="360" w:lineRule="auto"/>
        <w:ind w:left="1440"/>
        <w:jc w:val="both"/>
        <w:rPr>
          <w:rFonts w:ascii="Arial" w:hAnsi="Arial" w:cs="Arial"/>
          <w:sz w:val="24"/>
          <w:szCs w:val="24"/>
        </w:rPr>
      </w:pPr>
      <w:r w:rsidRPr="00D03ED2">
        <w:rPr>
          <w:rFonts w:ascii="Arial" w:hAnsi="Arial" w:cs="Arial"/>
        </w:rPr>
        <w:t>There can of course be little incentive for unemployed to enter into the collective bargaining process within such a dispensation. The employer will seldom be able to finalise a wage package, serial negotiations characterised by opportunism will be the order of the day. The formation of stable relationships will seem unlikely.</w:t>
      </w:r>
      <w:r>
        <w:rPr>
          <w:rFonts w:ascii="Arial" w:hAnsi="Arial" w:cs="Arial"/>
          <w:sz w:val="24"/>
          <w:szCs w:val="24"/>
        </w:rPr>
        <w:t xml:space="preserve"> </w:t>
      </w:r>
    </w:p>
    <w:p w:rsidR="005C01EA" w:rsidRDefault="008518D3" w:rsidP="00D03ED2">
      <w:pPr>
        <w:spacing w:line="360" w:lineRule="auto"/>
        <w:ind w:left="720" w:hanging="720"/>
        <w:jc w:val="both"/>
        <w:rPr>
          <w:rFonts w:ascii="Arial" w:hAnsi="Arial" w:cs="Arial"/>
          <w:sz w:val="24"/>
          <w:szCs w:val="24"/>
        </w:rPr>
      </w:pPr>
      <w:r>
        <w:rPr>
          <w:rFonts w:ascii="Arial" w:hAnsi="Arial" w:cs="Arial"/>
          <w:sz w:val="24"/>
          <w:szCs w:val="24"/>
        </w:rPr>
        <w:t>[68</w:t>
      </w:r>
      <w:r w:rsidR="00D34317">
        <w:rPr>
          <w:rFonts w:ascii="Arial" w:hAnsi="Arial" w:cs="Arial"/>
          <w:sz w:val="24"/>
          <w:szCs w:val="24"/>
        </w:rPr>
        <w:t>]</w:t>
      </w:r>
      <w:r w:rsidR="00D34317">
        <w:rPr>
          <w:rFonts w:ascii="Arial" w:hAnsi="Arial" w:cs="Arial"/>
          <w:sz w:val="24"/>
          <w:szCs w:val="24"/>
        </w:rPr>
        <w:tab/>
      </w:r>
      <w:r w:rsidR="005C01EA">
        <w:rPr>
          <w:rFonts w:ascii="Arial" w:hAnsi="Arial" w:cs="Arial"/>
          <w:sz w:val="24"/>
          <w:szCs w:val="24"/>
        </w:rPr>
        <w:t xml:space="preserve">Cheadle points out in relation to the limitations imposed by s 64 (1) (a) and the limitation of the right to strike that it </w:t>
      </w:r>
      <w:r w:rsidR="00AA26C4">
        <w:rPr>
          <w:rFonts w:ascii="Arial" w:hAnsi="Arial" w:cs="Arial"/>
          <w:sz w:val="24"/>
          <w:szCs w:val="24"/>
        </w:rPr>
        <w:t>presents:</w:t>
      </w:r>
      <w:r w:rsidR="005C01EA">
        <w:rPr>
          <w:rFonts w:ascii="Arial" w:hAnsi="Arial" w:cs="Arial"/>
          <w:sz w:val="24"/>
          <w:szCs w:val="24"/>
        </w:rPr>
        <w:t xml:space="preserve"> </w:t>
      </w:r>
    </w:p>
    <w:p w:rsidR="005C01EA" w:rsidRDefault="005C01EA" w:rsidP="005C01EA">
      <w:pPr>
        <w:spacing w:line="360" w:lineRule="auto"/>
        <w:ind w:left="1440"/>
        <w:jc w:val="both"/>
        <w:rPr>
          <w:rFonts w:ascii="Arial" w:hAnsi="Arial" w:cs="Arial"/>
          <w:sz w:val="24"/>
          <w:szCs w:val="24"/>
        </w:rPr>
      </w:pPr>
      <w:r>
        <w:rPr>
          <w:rFonts w:ascii="Arial" w:hAnsi="Arial" w:cs="Arial"/>
          <w:sz w:val="24"/>
          <w:szCs w:val="24"/>
        </w:rPr>
        <w:t>‘</w:t>
      </w:r>
      <w:r w:rsidRPr="005C01EA">
        <w:rPr>
          <w:rFonts w:ascii="Arial" w:hAnsi="Arial" w:cs="Arial"/>
        </w:rPr>
        <w:t>Applying the constitutional jig of section 36 (1) to this limitation its purpose is central to the collective bargaining process – a peace clause is the employer’s side of the bargain. This clause is the consideration for higher wages, lower hours, job security or whatever else forms the subject matter of the agreement</w:t>
      </w:r>
      <w:r>
        <w:rPr>
          <w:rFonts w:ascii="Arial" w:hAnsi="Arial" w:cs="Arial"/>
          <w:sz w:val="24"/>
          <w:szCs w:val="24"/>
        </w:rPr>
        <w:t>.</w:t>
      </w:r>
      <w:r>
        <w:rPr>
          <w:rStyle w:val="FootnoteReference"/>
          <w:rFonts w:ascii="Arial" w:hAnsi="Arial" w:cs="Arial"/>
          <w:sz w:val="24"/>
          <w:szCs w:val="24"/>
        </w:rPr>
        <w:footnoteReference w:id="29"/>
      </w:r>
      <w:r>
        <w:rPr>
          <w:rFonts w:ascii="Arial" w:hAnsi="Arial" w:cs="Arial"/>
          <w:sz w:val="24"/>
          <w:szCs w:val="24"/>
        </w:rPr>
        <w:t xml:space="preserve"> </w:t>
      </w:r>
    </w:p>
    <w:p w:rsidR="005D643D" w:rsidRDefault="008518D3" w:rsidP="005C01EA">
      <w:pPr>
        <w:spacing w:line="360" w:lineRule="auto"/>
        <w:ind w:left="720" w:hanging="720"/>
        <w:jc w:val="both"/>
        <w:rPr>
          <w:rFonts w:ascii="Arial" w:hAnsi="Arial" w:cs="Arial"/>
          <w:sz w:val="24"/>
          <w:szCs w:val="24"/>
        </w:rPr>
      </w:pPr>
      <w:r>
        <w:rPr>
          <w:rFonts w:ascii="Arial" w:hAnsi="Arial" w:cs="Arial"/>
          <w:sz w:val="24"/>
          <w:szCs w:val="24"/>
        </w:rPr>
        <w:t>[69</w:t>
      </w:r>
      <w:r w:rsidR="005C01EA">
        <w:rPr>
          <w:rFonts w:ascii="Arial" w:hAnsi="Arial" w:cs="Arial"/>
          <w:sz w:val="24"/>
          <w:szCs w:val="24"/>
        </w:rPr>
        <w:t>]</w:t>
      </w:r>
      <w:r w:rsidR="005C01EA">
        <w:rPr>
          <w:rFonts w:ascii="Arial" w:hAnsi="Arial" w:cs="Arial"/>
          <w:sz w:val="24"/>
          <w:szCs w:val="24"/>
        </w:rPr>
        <w:tab/>
      </w:r>
      <w:r w:rsidR="00D34317">
        <w:rPr>
          <w:rFonts w:ascii="Arial" w:hAnsi="Arial" w:cs="Arial"/>
          <w:sz w:val="24"/>
          <w:szCs w:val="24"/>
        </w:rPr>
        <w:t>F</w:t>
      </w:r>
      <w:r w:rsidR="00D03ED2">
        <w:rPr>
          <w:rFonts w:ascii="Arial" w:hAnsi="Arial" w:cs="Arial"/>
          <w:sz w:val="24"/>
          <w:szCs w:val="24"/>
        </w:rPr>
        <w:t>unctional collectiv</w:t>
      </w:r>
      <w:r w:rsidR="009A0621">
        <w:rPr>
          <w:rFonts w:ascii="Arial" w:hAnsi="Arial" w:cs="Arial"/>
          <w:sz w:val="24"/>
          <w:szCs w:val="24"/>
        </w:rPr>
        <w:t xml:space="preserve">e bargaining </w:t>
      </w:r>
      <w:r w:rsidR="005C01EA">
        <w:rPr>
          <w:rFonts w:ascii="Arial" w:hAnsi="Arial" w:cs="Arial"/>
          <w:sz w:val="24"/>
          <w:szCs w:val="24"/>
        </w:rPr>
        <w:t xml:space="preserve">therefore </w:t>
      </w:r>
      <w:r w:rsidR="009A0621">
        <w:rPr>
          <w:rFonts w:ascii="Arial" w:hAnsi="Arial" w:cs="Arial"/>
          <w:sz w:val="24"/>
          <w:szCs w:val="24"/>
        </w:rPr>
        <w:t>requires that a pea</w:t>
      </w:r>
      <w:r w:rsidR="005C01EA">
        <w:rPr>
          <w:rFonts w:ascii="Arial" w:hAnsi="Arial" w:cs="Arial"/>
          <w:sz w:val="24"/>
          <w:szCs w:val="24"/>
        </w:rPr>
        <w:t>ce obligation conceded in a collective</w:t>
      </w:r>
      <w:r w:rsidR="009A0621">
        <w:rPr>
          <w:rFonts w:ascii="Arial" w:hAnsi="Arial" w:cs="Arial"/>
          <w:sz w:val="24"/>
          <w:szCs w:val="24"/>
        </w:rPr>
        <w:t xml:space="preserve"> </w:t>
      </w:r>
      <w:r w:rsidR="00D03ED2">
        <w:rPr>
          <w:rFonts w:ascii="Arial" w:hAnsi="Arial" w:cs="Arial"/>
          <w:sz w:val="24"/>
          <w:szCs w:val="24"/>
        </w:rPr>
        <w:t>agreement should be enforceable. Functional collective bargaining furthe</w:t>
      </w:r>
      <w:r w:rsidR="009A0621">
        <w:rPr>
          <w:rFonts w:ascii="Arial" w:hAnsi="Arial" w:cs="Arial"/>
          <w:sz w:val="24"/>
          <w:szCs w:val="24"/>
        </w:rPr>
        <w:t>r requires that, when such a peace obligation is agreed to b</w:t>
      </w:r>
      <w:r w:rsidR="00D03ED2">
        <w:rPr>
          <w:rFonts w:ascii="Arial" w:hAnsi="Arial" w:cs="Arial"/>
          <w:sz w:val="24"/>
          <w:szCs w:val="24"/>
        </w:rPr>
        <w:t xml:space="preserve">y unions representing a majority of affected employees, the obligation should be capable of being extended to the minority of employees not belonging to any of the party unions. </w:t>
      </w:r>
      <w:r w:rsidR="005D643D">
        <w:rPr>
          <w:rFonts w:ascii="Arial" w:hAnsi="Arial" w:cs="Arial"/>
          <w:sz w:val="24"/>
          <w:szCs w:val="24"/>
        </w:rPr>
        <w:t>It follows from the above that the extension of collective agreements to all workers is not only compatible wit</w:t>
      </w:r>
      <w:r w:rsidR="00D03ED2">
        <w:rPr>
          <w:rFonts w:ascii="Arial" w:hAnsi="Arial" w:cs="Arial"/>
          <w:sz w:val="24"/>
          <w:szCs w:val="24"/>
        </w:rPr>
        <w:t>h the principles of freedom of a</w:t>
      </w:r>
      <w:r w:rsidR="005D643D">
        <w:rPr>
          <w:rFonts w:ascii="Arial" w:hAnsi="Arial" w:cs="Arial"/>
          <w:sz w:val="24"/>
          <w:szCs w:val="24"/>
        </w:rPr>
        <w:t xml:space="preserve">ssociation, it is recommended. </w:t>
      </w:r>
      <w:r w:rsidR="003E66E8">
        <w:rPr>
          <w:rFonts w:ascii="Arial" w:hAnsi="Arial" w:cs="Arial"/>
          <w:sz w:val="24"/>
          <w:szCs w:val="24"/>
        </w:rPr>
        <w:t>This negates the core of AMCU’s complaint.</w:t>
      </w:r>
      <w:r w:rsidR="00D03ED2">
        <w:rPr>
          <w:rFonts w:ascii="Arial" w:hAnsi="Arial" w:cs="Arial"/>
          <w:sz w:val="24"/>
          <w:szCs w:val="24"/>
        </w:rPr>
        <w:t xml:space="preserve"> At the heart of the present dispute is AMCU’s objection to the fact </w:t>
      </w:r>
      <w:r w:rsidR="00120822">
        <w:rPr>
          <w:rFonts w:ascii="Arial" w:hAnsi="Arial" w:cs="Arial"/>
          <w:sz w:val="24"/>
          <w:szCs w:val="24"/>
        </w:rPr>
        <w:t xml:space="preserve">that its members </w:t>
      </w:r>
      <w:r w:rsidR="00120822">
        <w:rPr>
          <w:rFonts w:ascii="Arial" w:hAnsi="Arial" w:cs="Arial"/>
          <w:sz w:val="24"/>
          <w:szCs w:val="24"/>
        </w:rPr>
        <w:lastRenderedPageBreak/>
        <w:t>are bound</w:t>
      </w:r>
      <w:r w:rsidR="00D03ED2">
        <w:rPr>
          <w:rFonts w:ascii="Arial" w:hAnsi="Arial" w:cs="Arial"/>
          <w:sz w:val="24"/>
          <w:szCs w:val="24"/>
        </w:rPr>
        <w:t xml:space="preserve"> without the</w:t>
      </w:r>
      <w:r w:rsidR="00120822">
        <w:rPr>
          <w:rFonts w:ascii="Arial" w:hAnsi="Arial" w:cs="Arial"/>
          <w:sz w:val="24"/>
          <w:szCs w:val="24"/>
        </w:rPr>
        <w:t>ir</w:t>
      </w:r>
      <w:r w:rsidR="00D03ED2">
        <w:rPr>
          <w:rFonts w:ascii="Arial" w:hAnsi="Arial" w:cs="Arial"/>
          <w:sz w:val="24"/>
          <w:szCs w:val="24"/>
        </w:rPr>
        <w:t xml:space="preserve"> consent to a collective agreement concluded by unions that enjoy the support of the majority of employees in the relevant workplaces. The majoritarian</w:t>
      </w:r>
      <w:r w:rsidR="00D34317">
        <w:rPr>
          <w:rFonts w:ascii="Arial" w:hAnsi="Arial" w:cs="Arial"/>
          <w:sz w:val="24"/>
          <w:szCs w:val="24"/>
        </w:rPr>
        <w:t xml:space="preserve"> principle that underlie s</w:t>
      </w:r>
      <w:r w:rsidR="00D03ED2">
        <w:rPr>
          <w:rFonts w:ascii="Arial" w:hAnsi="Arial" w:cs="Arial"/>
          <w:sz w:val="24"/>
          <w:szCs w:val="24"/>
        </w:rPr>
        <w:t xml:space="preserve"> 23 (1) (d) promotes orderly collective bargaining, a legitimate purpose of the LRA and serves the legislative purpose of advancing labour peace and the democratisation of the workplace and the creation of a framework within which parties can bargain collectively to determine wages and other terms and conditions of employment. If an employer and unions party to a collective agreement were denied the right to the extent their agreement to non</w:t>
      </w:r>
      <w:r w:rsidR="00120822">
        <w:rPr>
          <w:rFonts w:ascii="Arial" w:hAnsi="Arial" w:cs="Arial"/>
          <w:sz w:val="24"/>
          <w:szCs w:val="24"/>
        </w:rPr>
        <w:t>-</w:t>
      </w:r>
      <w:r w:rsidR="00D03ED2">
        <w:rPr>
          <w:rFonts w:ascii="Arial" w:hAnsi="Arial" w:cs="Arial"/>
          <w:sz w:val="24"/>
          <w:szCs w:val="24"/>
        </w:rPr>
        <w:t>party employees, collective bargaining would be characterised by opportunism and the attendant threat to the formation of stable relationships. To the extent that this involves some limitation of the right to strike (or any of the other constitutional rights on which AMCU relies</w:t>
      </w:r>
      <w:r w:rsidR="00B11FDD">
        <w:rPr>
          <w:rFonts w:ascii="Arial" w:hAnsi="Arial" w:cs="Arial"/>
          <w:sz w:val="24"/>
          <w:szCs w:val="24"/>
        </w:rPr>
        <w:t>)</w:t>
      </w:r>
      <w:r w:rsidR="00D03ED2">
        <w:rPr>
          <w:rFonts w:ascii="Arial" w:hAnsi="Arial" w:cs="Arial"/>
          <w:sz w:val="24"/>
          <w:szCs w:val="24"/>
        </w:rPr>
        <w:t>, this is entirely justifiable.</w:t>
      </w:r>
    </w:p>
    <w:p w:rsidR="009E7243" w:rsidRDefault="008518D3" w:rsidP="009A0621">
      <w:pPr>
        <w:spacing w:line="360" w:lineRule="auto"/>
        <w:ind w:left="720" w:hanging="720"/>
        <w:jc w:val="both"/>
        <w:rPr>
          <w:rFonts w:ascii="Arial" w:hAnsi="Arial" w:cs="Arial"/>
          <w:sz w:val="24"/>
          <w:szCs w:val="24"/>
        </w:rPr>
      </w:pPr>
      <w:r>
        <w:rPr>
          <w:rFonts w:ascii="Arial" w:hAnsi="Arial" w:cs="Arial"/>
          <w:sz w:val="24"/>
          <w:szCs w:val="24"/>
        </w:rPr>
        <w:t>[70</w:t>
      </w:r>
      <w:r w:rsidR="005D643D">
        <w:rPr>
          <w:rFonts w:ascii="Arial" w:hAnsi="Arial" w:cs="Arial"/>
          <w:sz w:val="24"/>
          <w:szCs w:val="24"/>
        </w:rPr>
        <w:t>]</w:t>
      </w:r>
      <w:r w:rsidR="005D643D">
        <w:rPr>
          <w:rFonts w:ascii="Arial" w:hAnsi="Arial" w:cs="Arial"/>
          <w:sz w:val="24"/>
          <w:szCs w:val="24"/>
        </w:rPr>
        <w:tab/>
      </w:r>
      <w:r w:rsidR="009E7243">
        <w:rPr>
          <w:rFonts w:ascii="Arial" w:hAnsi="Arial" w:cs="Arial"/>
          <w:sz w:val="24"/>
          <w:szCs w:val="24"/>
        </w:rPr>
        <w:t>The limitations of the rights about which AMCU complains serves legitimate government purposes – principally, to promote orderly and effective collective bargaining at workplace level. The limitation that flows from s 23 (1) (d) read with s 65 (1) (a) is circumscribed in that strikes are prohibited only other specific issues in respect of which a collective agreement prohibits them, and ap</w:t>
      </w:r>
      <w:r w:rsidR="00D34317">
        <w:rPr>
          <w:rFonts w:ascii="Arial" w:hAnsi="Arial" w:cs="Arial"/>
          <w:sz w:val="24"/>
          <w:szCs w:val="24"/>
        </w:rPr>
        <w:t>plies only for the duration</w:t>
      </w:r>
      <w:r w:rsidR="009E7243">
        <w:rPr>
          <w:rFonts w:ascii="Arial" w:hAnsi="Arial" w:cs="Arial"/>
          <w:sz w:val="24"/>
          <w:szCs w:val="24"/>
        </w:rPr>
        <w:t xml:space="preserve"> of that agreem</w:t>
      </w:r>
      <w:r w:rsidR="00D34317">
        <w:rPr>
          <w:rFonts w:ascii="Arial" w:hAnsi="Arial" w:cs="Arial"/>
          <w:sz w:val="24"/>
          <w:szCs w:val="24"/>
        </w:rPr>
        <w:t>ent. In respect of section 23 (1) (d)</w:t>
      </w:r>
      <w:r w:rsidR="009E7243">
        <w:rPr>
          <w:rFonts w:ascii="Arial" w:hAnsi="Arial" w:cs="Arial"/>
          <w:sz w:val="24"/>
          <w:szCs w:val="24"/>
        </w:rPr>
        <w:t xml:space="preserve"> specifically, the limitation is narrowly tailored to apply only to those workplaces where there is a more trade unions that represent the majority of employees and </w:t>
      </w:r>
      <w:r w:rsidR="00D34317">
        <w:rPr>
          <w:rFonts w:ascii="Arial" w:hAnsi="Arial" w:cs="Arial"/>
          <w:sz w:val="24"/>
          <w:szCs w:val="24"/>
        </w:rPr>
        <w:t>t</w:t>
      </w:r>
      <w:r w:rsidR="009E7243">
        <w:rPr>
          <w:rFonts w:ascii="Arial" w:hAnsi="Arial" w:cs="Arial"/>
          <w:sz w:val="24"/>
          <w:szCs w:val="24"/>
        </w:rPr>
        <w:t>hen only when the parties agree that the agreement should be extended to all emplo</w:t>
      </w:r>
      <w:r w:rsidR="00D34317">
        <w:rPr>
          <w:rFonts w:ascii="Arial" w:hAnsi="Arial" w:cs="Arial"/>
          <w:sz w:val="24"/>
          <w:szCs w:val="24"/>
        </w:rPr>
        <w:t>yee</w:t>
      </w:r>
      <w:r w:rsidR="008A2242">
        <w:rPr>
          <w:rFonts w:ascii="Arial" w:hAnsi="Arial" w:cs="Arial"/>
          <w:sz w:val="24"/>
          <w:szCs w:val="24"/>
        </w:rPr>
        <w:t>s.</w:t>
      </w:r>
    </w:p>
    <w:p w:rsidR="009E7243" w:rsidRDefault="008518D3" w:rsidP="00D34317">
      <w:pPr>
        <w:spacing w:line="360" w:lineRule="auto"/>
        <w:ind w:left="720" w:hanging="720"/>
        <w:jc w:val="both"/>
        <w:rPr>
          <w:rFonts w:ascii="Arial" w:hAnsi="Arial" w:cs="Arial"/>
          <w:sz w:val="24"/>
          <w:szCs w:val="24"/>
        </w:rPr>
      </w:pPr>
      <w:r>
        <w:rPr>
          <w:rFonts w:ascii="Arial" w:hAnsi="Arial" w:cs="Arial"/>
          <w:sz w:val="24"/>
          <w:szCs w:val="24"/>
        </w:rPr>
        <w:t>[71</w:t>
      </w:r>
      <w:r w:rsidR="00D34317">
        <w:rPr>
          <w:rFonts w:ascii="Arial" w:hAnsi="Arial" w:cs="Arial"/>
          <w:sz w:val="24"/>
          <w:szCs w:val="24"/>
        </w:rPr>
        <w:t>]</w:t>
      </w:r>
      <w:r w:rsidR="00D34317">
        <w:rPr>
          <w:rFonts w:ascii="Arial" w:hAnsi="Arial" w:cs="Arial"/>
          <w:sz w:val="24"/>
          <w:szCs w:val="24"/>
        </w:rPr>
        <w:tab/>
      </w:r>
      <w:r w:rsidR="009E7243">
        <w:rPr>
          <w:rFonts w:ascii="Arial" w:hAnsi="Arial" w:cs="Arial"/>
          <w:sz w:val="24"/>
          <w:szCs w:val="24"/>
        </w:rPr>
        <w:t>The</w:t>
      </w:r>
      <w:r w:rsidR="009A0621">
        <w:rPr>
          <w:rFonts w:ascii="Arial" w:hAnsi="Arial" w:cs="Arial"/>
          <w:sz w:val="24"/>
          <w:szCs w:val="24"/>
        </w:rPr>
        <w:t xml:space="preserve"> limitation arising from s</w:t>
      </w:r>
      <w:r w:rsidR="009E7243">
        <w:rPr>
          <w:rFonts w:ascii="Arial" w:hAnsi="Arial" w:cs="Arial"/>
          <w:sz w:val="24"/>
          <w:szCs w:val="24"/>
        </w:rPr>
        <w:t xml:space="preserve"> 21</w:t>
      </w:r>
      <w:r w:rsidR="009A0621">
        <w:rPr>
          <w:rFonts w:ascii="Arial" w:hAnsi="Arial" w:cs="Arial"/>
          <w:sz w:val="24"/>
          <w:szCs w:val="24"/>
        </w:rPr>
        <w:t xml:space="preserve"> (1) (d) read with s 65 (1) (a) </w:t>
      </w:r>
      <w:r w:rsidR="009E7243">
        <w:rPr>
          <w:rFonts w:ascii="Arial" w:hAnsi="Arial" w:cs="Arial"/>
          <w:sz w:val="24"/>
          <w:szCs w:val="24"/>
        </w:rPr>
        <w:t>flows directly from its purp</w:t>
      </w:r>
      <w:r w:rsidR="009A0621">
        <w:rPr>
          <w:rFonts w:ascii="Arial" w:hAnsi="Arial" w:cs="Arial"/>
          <w:sz w:val="24"/>
          <w:szCs w:val="24"/>
        </w:rPr>
        <w:t>ose. The very purpose of s</w:t>
      </w:r>
      <w:r w:rsidR="009E7243">
        <w:rPr>
          <w:rFonts w:ascii="Arial" w:hAnsi="Arial" w:cs="Arial"/>
          <w:sz w:val="24"/>
          <w:szCs w:val="24"/>
        </w:rPr>
        <w:t xml:space="preserve"> 23 is to bind non-parties in the workplace in respect of collective agreements concluded by majority trade unions. Binding non-parties is not an ina</w:t>
      </w:r>
      <w:r w:rsidR="009A0621">
        <w:rPr>
          <w:rFonts w:ascii="Arial" w:hAnsi="Arial" w:cs="Arial"/>
          <w:sz w:val="24"/>
          <w:szCs w:val="24"/>
        </w:rPr>
        <w:t>dvertent effect of s 21 (1) (d) – on the contrary</w:t>
      </w:r>
      <w:r w:rsidR="000F108B">
        <w:rPr>
          <w:rFonts w:ascii="Arial" w:hAnsi="Arial" w:cs="Arial"/>
          <w:sz w:val="24"/>
          <w:szCs w:val="24"/>
        </w:rPr>
        <w:t>,</w:t>
      </w:r>
      <w:r w:rsidR="009A0621">
        <w:rPr>
          <w:rFonts w:ascii="Arial" w:hAnsi="Arial" w:cs="Arial"/>
          <w:sz w:val="24"/>
          <w:szCs w:val="24"/>
        </w:rPr>
        <w:t xml:space="preserve"> that is its</w:t>
      </w:r>
      <w:r w:rsidR="009E7243">
        <w:rPr>
          <w:rFonts w:ascii="Arial" w:hAnsi="Arial" w:cs="Arial"/>
          <w:sz w:val="24"/>
          <w:szCs w:val="24"/>
        </w:rPr>
        <w:t xml:space="preserve"> central purpose. S</w:t>
      </w:r>
      <w:r w:rsidR="009A0621">
        <w:rPr>
          <w:rFonts w:ascii="Arial" w:hAnsi="Arial" w:cs="Arial"/>
          <w:sz w:val="24"/>
          <w:szCs w:val="24"/>
        </w:rPr>
        <w:t>imilarly, the purpose of s</w:t>
      </w:r>
      <w:r w:rsidR="009E7243">
        <w:rPr>
          <w:rFonts w:ascii="Arial" w:hAnsi="Arial" w:cs="Arial"/>
          <w:sz w:val="24"/>
          <w:szCs w:val="24"/>
        </w:rPr>
        <w:t xml:space="preserve"> 65</w:t>
      </w:r>
      <w:r w:rsidR="009A0621">
        <w:rPr>
          <w:rFonts w:ascii="Arial" w:hAnsi="Arial" w:cs="Arial"/>
          <w:sz w:val="24"/>
          <w:szCs w:val="24"/>
        </w:rPr>
        <w:t xml:space="preserve"> (1)</w:t>
      </w:r>
      <w:r w:rsidR="009E7243">
        <w:rPr>
          <w:rFonts w:ascii="Arial" w:hAnsi="Arial" w:cs="Arial"/>
          <w:sz w:val="24"/>
          <w:szCs w:val="24"/>
        </w:rPr>
        <w:t xml:space="preserve"> is </w:t>
      </w:r>
      <w:r w:rsidR="009A0621">
        <w:rPr>
          <w:rFonts w:ascii="Arial" w:hAnsi="Arial" w:cs="Arial"/>
          <w:i/>
          <w:sz w:val="24"/>
          <w:szCs w:val="24"/>
        </w:rPr>
        <w:t xml:space="preserve">inter alia </w:t>
      </w:r>
      <w:r w:rsidR="009E7243">
        <w:rPr>
          <w:rFonts w:ascii="Arial" w:hAnsi="Arial" w:cs="Arial"/>
          <w:sz w:val="24"/>
          <w:szCs w:val="24"/>
        </w:rPr>
        <w:t xml:space="preserve">to prohibit strikes and lockouts over issues in respect of which a collective agreement prohibits industrial action. There are no less restrictive means of achieving the applicable purposes. If the parties were precluded from extending </w:t>
      </w:r>
      <w:r w:rsidR="000F108B">
        <w:rPr>
          <w:rFonts w:ascii="Arial" w:hAnsi="Arial" w:cs="Arial"/>
          <w:sz w:val="24"/>
          <w:szCs w:val="24"/>
        </w:rPr>
        <w:t xml:space="preserve">collective </w:t>
      </w:r>
      <w:r w:rsidR="009E7243">
        <w:rPr>
          <w:rFonts w:ascii="Arial" w:hAnsi="Arial" w:cs="Arial"/>
          <w:sz w:val="24"/>
          <w:szCs w:val="24"/>
        </w:rPr>
        <w:t>agree</w:t>
      </w:r>
      <w:r w:rsidR="009A0621">
        <w:rPr>
          <w:rFonts w:ascii="Arial" w:hAnsi="Arial" w:cs="Arial"/>
          <w:sz w:val="24"/>
          <w:szCs w:val="24"/>
        </w:rPr>
        <w:t xml:space="preserve">ments in </w:t>
      </w:r>
      <w:r w:rsidR="009A0621">
        <w:rPr>
          <w:rFonts w:ascii="Arial" w:hAnsi="Arial" w:cs="Arial"/>
          <w:sz w:val="24"/>
          <w:szCs w:val="24"/>
        </w:rPr>
        <w:lastRenderedPageBreak/>
        <w:t>terms of section 23 (1) (d)</w:t>
      </w:r>
      <w:r w:rsidR="009E7243">
        <w:rPr>
          <w:rFonts w:ascii="Arial" w:hAnsi="Arial" w:cs="Arial"/>
          <w:sz w:val="24"/>
          <w:szCs w:val="24"/>
        </w:rPr>
        <w:t>, the specific purpose of the provision could not be achieved. What would remain is the ordinary common law principle that contracting parties are bound by their o</w:t>
      </w:r>
      <w:r w:rsidR="009A0621">
        <w:rPr>
          <w:rFonts w:ascii="Arial" w:hAnsi="Arial" w:cs="Arial"/>
          <w:sz w:val="24"/>
          <w:szCs w:val="24"/>
        </w:rPr>
        <w:t>wn agreements. This would, as I ha</w:t>
      </w:r>
      <w:r w:rsidR="009E7243">
        <w:rPr>
          <w:rFonts w:ascii="Arial" w:hAnsi="Arial" w:cs="Arial"/>
          <w:sz w:val="24"/>
          <w:szCs w:val="24"/>
        </w:rPr>
        <w:t>ve indicated, fundamentally undermine the broader purpose of the provision, which is to ensure functional, orderly and stable collective bargaining.</w:t>
      </w:r>
    </w:p>
    <w:p w:rsidR="009E7243" w:rsidRDefault="008518D3" w:rsidP="00A826E5">
      <w:pPr>
        <w:spacing w:line="360" w:lineRule="auto"/>
        <w:ind w:left="720" w:hanging="720"/>
        <w:jc w:val="both"/>
        <w:rPr>
          <w:rFonts w:ascii="Arial" w:hAnsi="Arial" w:cs="Arial"/>
          <w:sz w:val="24"/>
          <w:szCs w:val="24"/>
        </w:rPr>
      </w:pPr>
      <w:r>
        <w:rPr>
          <w:rFonts w:ascii="Arial" w:hAnsi="Arial" w:cs="Arial"/>
          <w:sz w:val="24"/>
          <w:szCs w:val="24"/>
        </w:rPr>
        <w:t>[72</w:t>
      </w:r>
      <w:r w:rsidR="009E7243">
        <w:rPr>
          <w:rFonts w:ascii="Arial" w:hAnsi="Arial" w:cs="Arial"/>
          <w:sz w:val="24"/>
          <w:szCs w:val="24"/>
        </w:rPr>
        <w:t>]</w:t>
      </w:r>
      <w:r w:rsidR="009E7243">
        <w:rPr>
          <w:rFonts w:ascii="Arial" w:hAnsi="Arial" w:cs="Arial"/>
          <w:sz w:val="24"/>
          <w:szCs w:val="24"/>
        </w:rPr>
        <w:tab/>
        <w:t>In so far as AMCU submits that the less restrictive means of adopting the requirement of administrative approval for any extension of a collecti</w:t>
      </w:r>
      <w:r w:rsidR="00D34317">
        <w:rPr>
          <w:rFonts w:ascii="Arial" w:hAnsi="Arial" w:cs="Arial"/>
          <w:sz w:val="24"/>
          <w:szCs w:val="24"/>
        </w:rPr>
        <w:t>ve agreement in terms of s 23 (1</w:t>
      </w:r>
      <w:r w:rsidR="009E7243">
        <w:rPr>
          <w:rFonts w:ascii="Arial" w:hAnsi="Arial" w:cs="Arial"/>
          <w:sz w:val="24"/>
          <w:szCs w:val="24"/>
        </w:rPr>
        <w:t xml:space="preserve">) (d) is concerned, this does not constitute a ‘less restrictive </w:t>
      </w:r>
      <w:r w:rsidR="00790F45">
        <w:rPr>
          <w:rFonts w:ascii="Arial" w:hAnsi="Arial" w:cs="Arial"/>
          <w:sz w:val="24"/>
          <w:szCs w:val="24"/>
        </w:rPr>
        <w:t>means</w:t>
      </w:r>
      <w:r w:rsidR="008A2242">
        <w:rPr>
          <w:rFonts w:ascii="Arial" w:hAnsi="Arial" w:cs="Arial"/>
          <w:sz w:val="24"/>
          <w:szCs w:val="24"/>
        </w:rPr>
        <w:t>’</w:t>
      </w:r>
      <w:r w:rsidR="00790F45">
        <w:rPr>
          <w:rFonts w:ascii="Arial" w:hAnsi="Arial" w:cs="Arial"/>
          <w:sz w:val="24"/>
          <w:szCs w:val="24"/>
        </w:rPr>
        <w:t xml:space="preserve"> to</w:t>
      </w:r>
      <w:r w:rsidR="009E7243">
        <w:rPr>
          <w:rFonts w:ascii="Arial" w:hAnsi="Arial" w:cs="Arial"/>
          <w:sz w:val="24"/>
          <w:szCs w:val="24"/>
        </w:rPr>
        <w:t xml:space="preserve"> achieve the stated legislative purpose. First, it is not a less restrictive means at all, since the end result would be the same. In other words, incorporating the additional procedural step of securing administrative approval would make no difference to AMCU’s complaints about the impugned provisions. Further, and more fundamentally, the insertion of a requirement that administrative approval be obtained before collectiv</w:t>
      </w:r>
      <w:r w:rsidR="000F108B">
        <w:rPr>
          <w:rFonts w:ascii="Arial" w:hAnsi="Arial" w:cs="Arial"/>
          <w:sz w:val="24"/>
          <w:szCs w:val="24"/>
        </w:rPr>
        <w:t>e agreement can be extended would</w:t>
      </w:r>
      <w:r w:rsidR="009E7243">
        <w:rPr>
          <w:rFonts w:ascii="Arial" w:hAnsi="Arial" w:cs="Arial"/>
          <w:sz w:val="24"/>
          <w:szCs w:val="24"/>
        </w:rPr>
        <w:t xml:space="preserve"> constitute </w:t>
      </w:r>
      <w:r w:rsidR="000F108B">
        <w:rPr>
          <w:rFonts w:ascii="Arial" w:hAnsi="Arial" w:cs="Arial"/>
          <w:sz w:val="24"/>
          <w:szCs w:val="24"/>
        </w:rPr>
        <w:t>an interference with the autonomy of the bargaining parties</w:t>
      </w:r>
      <w:r w:rsidR="009A0621">
        <w:rPr>
          <w:rFonts w:ascii="Arial" w:hAnsi="Arial" w:cs="Arial"/>
          <w:sz w:val="24"/>
          <w:szCs w:val="24"/>
        </w:rPr>
        <w:t>. Further, it is not clear that</w:t>
      </w:r>
      <w:r w:rsidR="009E7243">
        <w:rPr>
          <w:rFonts w:ascii="Arial" w:hAnsi="Arial" w:cs="Arial"/>
          <w:sz w:val="24"/>
          <w:szCs w:val="24"/>
        </w:rPr>
        <w:t xml:space="preserve"> administrative approval would constitute an appropriate altern</w:t>
      </w:r>
      <w:r w:rsidR="009A0621">
        <w:rPr>
          <w:rFonts w:ascii="Arial" w:hAnsi="Arial" w:cs="Arial"/>
          <w:sz w:val="24"/>
          <w:szCs w:val="24"/>
        </w:rPr>
        <w:t xml:space="preserve">ative in practice. The extension of </w:t>
      </w:r>
      <w:r w:rsidR="009E7243">
        <w:rPr>
          <w:rFonts w:ascii="Arial" w:hAnsi="Arial" w:cs="Arial"/>
          <w:sz w:val="24"/>
          <w:szCs w:val="24"/>
        </w:rPr>
        <w:t>collective agreements in the circumstan</w:t>
      </w:r>
      <w:r w:rsidR="009A0621">
        <w:rPr>
          <w:rFonts w:ascii="Arial" w:hAnsi="Arial" w:cs="Arial"/>
          <w:sz w:val="24"/>
          <w:szCs w:val="24"/>
        </w:rPr>
        <w:t>ces contemplated by s</w:t>
      </w:r>
      <w:r w:rsidR="00D34317">
        <w:rPr>
          <w:rFonts w:ascii="Arial" w:hAnsi="Arial" w:cs="Arial"/>
          <w:sz w:val="24"/>
          <w:szCs w:val="24"/>
        </w:rPr>
        <w:t xml:space="preserve"> 23 (1) (d) </w:t>
      </w:r>
      <w:r w:rsidR="009E7243">
        <w:rPr>
          <w:rFonts w:ascii="Arial" w:hAnsi="Arial" w:cs="Arial"/>
          <w:sz w:val="24"/>
          <w:szCs w:val="24"/>
        </w:rPr>
        <w:t>can function only if it applies in all cases. This achieves the necessary certainty to enable collective bargaining to take place. In other words, the legislative purpose of orderly collective bargaining would be defeated if there was even a prospect that non</w:t>
      </w:r>
      <w:r w:rsidR="008A2242">
        <w:rPr>
          <w:rFonts w:ascii="Arial" w:hAnsi="Arial" w:cs="Arial"/>
          <w:sz w:val="24"/>
          <w:szCs w:val="24"/>
        </w:rPr>
        <w:t>-</w:t>
      </w:r>
      <w:r w:rsidR="009E7243">
        <w:rPr>
          <w:rFonts w:ascii="Arial" w:hAnsi="Arial" w:cs="Arial"/>
          <w:sz w:val="24"/>
          <w:szCs w:val="24"/>
        </w:rPr>
        <w:t>parties would not be bound by the agreement.</w:t>
      </w:r>
    </w:p>
    <w:p w:rsidR="000F108B" w:rsidRDefault="008518D3" w:rsidP="00A826E5">
      <w:pPr>
        <w:spacing w:line="360" w:lineRule="auto"/>
        <w:ind w:left="720" w:hanging="720"/>
        <w:jc w:val="both"/>
        <w:rPr>
          <w:rFonts w:ascii="Arial" w:hAnsi="Arial" w:cs="Arial"/>
          <w:sz w:val="24"/>
          <w:szCs w:val="24"/>
        </w:rPr>
      </w:pPr>
      <w:r>
        <w:rPr>
          <w:rFonts w:ascii="Arial" w:hAnsi="Arial" w:cs="Arial"/>
          <w:sz w:val="24"/>
          <w:szCs w:val="24"/>
        </w:rPr>
        <w:t>[73</w:t>
      </w:r>
      <w:r w:rsidR="00120822">
        <w:rPr>
          <w:rFonts w:ascii="Arial" w:hAnsi="Arial" w:cs="Arial"/>
          <w:sz w:val="24"/>
          <w:szCs w:val="24"/>
        </w:rPr>
        <w:t>]</w:t>
      </w:r>
      <w:r w:rsidR="00120822">
        <w:rPr>
          <w:rFonts w:ascii="Arial" w:hAnsi="Arial" w:cs="Arial"/>
          <w:sz w:val="24"/>
          <w:szCs w:val="24"/>
        </w:rPr>
        <w:tab/>
        <w:t>In conclusion, i</w:t>
      </w:r>
      <w:r w:rsidR="009E7243">
        <w:rPr>
          <w:rFonts w:ascii="Arial" w:hAnsi="Arial" w:cs="Arial"/>
          <w:sz w:val="24"/>
          <w:szCs w:val="24"/>
        </w:rPr>
        <w:t xml:space="preserve">n the present instance, the </w:t>
      </w:r>
      <w:r w:rsidR="000F108B">
        <w:rPr>
          <w:rFonts w:ascii="Arial" w:hAnsi="Arial" w:cs="Arial"/>
          <w:sz w:val="24"/>
          <w:szCs w:val="24"/>
        </w:rPr>
        <w:t>limitation on the right to strike</w:t>
      </w:r>
      <w:r w:rsidR="008A2242">
        <w:rPr>
          <w:rFonts w:ascii="Arial" w:hAnsi="Arial" w:cs="Arial"/>
          <w:sz w:val="24"/>
          <w:szCs w:val="24"/>
        </w:rPr>
        <w:t xml:space="preserve"> by AMCU’s members</w:t>
      </w:r>
      <w:r w:rsidR="000F108B">
        <w:rPr>
          <w:rFonts w:ascii="Arial" w:hAnsi="Arial" w:cs="Arial"/>
          <w:sz w:val="24"/>
          <w:szCs w:val="24"/>
        </w:rPr>
        <w:t xml:space="preserve"> extends</w:t>
      </w:r>
      <w:r w:rsidR="009E7243">
        <w:rPr>
          <w:rFonts w:ascii="Arial" w:hAnsi="Arial" w:cs="Arial"/>
          <w:sz w:val="24"/>
          <w:szCs w:val="24"/>
        </w:rPr>
        <w:t xml:space="preserve"> </w:t>
      </w:r>
      <w:r w:rsidR="003A78F7">
        <w:rPr>
          <w:rFonts w:ascii="Arial" w:hAnsi="Arial" w:cs="Arial"/>
          <w:sz w:val="24"/>
          <w:szCs w:val="24"/>
        </w:rPr>
        <w:t xml:space="preserve">only </w:t>
      </w:r>
      <w:r w:rsidR="000F108B">
        <w:rPr>
          <w:rFonts w:ascii="Arial" w:hAnsi="Arial" w:cs="Arial"/>
          <w:sz w:val="24"/>
          <w:szCs w:val="24"/>
        </w:rPr>
        <w:t xml:space="preserve">in respect of those issues regulated by the wage agreement and only </w:t>
      </w:r>
      <w:r w:rsidR="003A78F7">
        <w:rPr>
          <w:rFonts w:ascii="Arial" w:hAnsi="Arial" w:cs="Arial"/>
          <w:sz w:val="24"/>
          <w:szCs w:val="24"/>
        </w:rPr>
        <w:t>for so long as th</w:t>
      </w:r>
      <w:r w:rsidR="009A0621">
        <w:rPr>
          <w:rFonts w:ascii="Arial" w:hAnsi="Arial" w:cs="Arial"/>
          <w:sz w:val="24"/>
          <w:szCs w:val="24"/>
        </w:rPr>
        <w:t>e agreement remains binding. This</w:t>
      </w:r>
      <w:r w:rsidR="003A78F7">
        <w:rPr>
          <w:rFonts w:ascii="Arial" w:hAnsi="Arial" w:cs="Arial"/>
          <w:sz w:val="24"/>
          <w:szCs w:val="24"/>
        </w:rPr>
        <w:t xml:space="preserve"> limitation is consistent with the overall legislative scheme applicable to</w:t>
      </w:r>
      <w:r w:rsidR="00D34317">
        <w:rPr>
          <w:rFonts w:ascii="Arial" w:hAnsi="Arial" w:cs="Arial"/>
          <w:sz w:val="24"/>
          <w:szCs w:val="24"/>
        </w:rPr>
        <w:t xml:space="preserve"> collective bargaining and the L</w:t>
      </w:r>
      <w:r w:rsidR="003A78F7">
        <w:rPr>
          <w:rFonts w:ascii="Arial" w:hAnsi="Arial" w:cs="Arial"/>
          <w:sz w:val="24"/>
          <w:szCs w:val="24"/>
        </w:rPr>
        <w:t>RA, which in turn, is supported by foreign and international law</w:t>
      </w:r>
      <w:r w:rsidR="00A552C9">
        <w:rPr>
          <w:rFonts w:ascii="Arial" w:hAnsi="Arial" w:cs="Arial"/>
          <w:sz w:val="24"/>
          <w:szCs w:val="24"/>
        </w:rPr>
        <w:t>.</w:t>
      </w:r>
      <w:r w:rsidR="000F108B">
        <w:rPr>
          <w:rFonts w:ascii="Arial" w:hAnsi="Arial" w:cs="Arial"/>
          <w:sz w:val="24"/>
          <w:szCs w:val="24"/>
        </w:rPr>
        <w:t xml:space="preserve"> </w:t>
      </w:r>
      <w:r w:rsidR="00A552C9">
        <w:rPr>
          <w:rFonts w:ascii="Arial" w:hAnsi="Arial" w:cs="Arial"/>
          <w:sz w:val="24"/>
          <w:szCs w:val="24"/>
        </w:rPr>
        <w:t>T</w:t>
      </w:r>
      <w:r w:rsidR="003A78F7">
        <w:rPr>
          <w:rFonts w:ascii="Arial" w:hAnsi="Arial" w:cs="Arial"/>
          <w:sz w:val="24"/>
          <w:szCs w:val="24"/>
        </w:rPr>
        <w:t>he limitation of the constitutional rights concerned is proportional and meet</w:t>
      </w:r>
      <w:r w:rsidR="00A552C9">
        <w:rPr>
          <w:rFonts w:ascii="Arial" w:hAnsi="Arial" w:cs="Arial"/>
          <w:sz w:val="24"/>
          <w:szCs w:val="24"/>
        </w:rPr>
        <w:t>s the test prescribed by s 36 of the C</w:t>
      </w:r>
      <w:r w:rsidR="003A78F7">
        <w:rPr>
          <w:rFonts w:ascii="Arial" w:hAnsi="Arial" w:cs="Arial"/>
          <w:sz w:val="24"/>
          <w:szCs w:val="24"/>
        </w:rPr>
        <w:t>onstitution.</w:t>
      </w:r>
      <w:r w:rsidR="000F108B">
        <w:rPr>
          <w:rFonts w:ascii="Arial" w:hAnsi="Arial" w:cs="Arial"/>
          <w:sz w:val="24"/>
          <w:szCs w:val="24"/>
        </w:rPr>
        <w:t xml:space="preserve"> </w:t>
      </w:r>
      <w:r w:rsidR="003A78F7">
        <w:rPr>
          <w:rFonts w:ascii="Arial" w:hAnsi="Arial" w:cs="Arial"/>
          <w:sz w:val="24"/>
          <w:szCs w:val="24"/>
        </w:rPr>
        <w:t>It follows f</w:t>
      </w:r>
      <w:r w:rsidR="00D34317">
        <w:rPr>
          <w:rFonts w:ascii="Arial" w:hAnsi="Arial" w:cs="Arial"/>
          <w:sz w:val="24"/>
          <w:szCs w:val="24"/>
        </w:rPr>
        <w:t>rom my finding that s 23 (1) (d)</w:t>
      </w:r>
      <w:r w:rsidR="003A78F7">
        <w:rPr>
          <w:rFonts w:ascii="Arial" w:hAnsi="Arial" w:cs="Arial"/>
          <w:sz w:val="24"/>
          <w:szCs w:val="24"/>
        </w:rPr>
        <w:t xml:space="preserve"> read with the other relevant sections </w:t>
      </w:r>
      <w:r w:rsidR="00A552C9">
        <w:rPr>
          <w:rFonts w:ascii="Arial" w:hAnsi="Arial" w:cs="Arial"/>
          <w:sz w:val="24"/>
          <w:szCs w:val="24"/>
        </w:rPr>
        <w:t xml:space="preserve">of the LRA </w:t>
      </w:r>
      <w:r w:rsidR="003A78F7">
        <w:rPr>
          <w:rFonts w:ascii="Arial" w:hAnsi="Arial" w:cs="Arial"/>
          <w:sz w:val="24"/>
          <w:szCs w:val="24"/>
        </w:rPr>
        <w:t xml:space="preserve">does not violate </w:t>
      </w:r>
      <w:r w:rsidR="003A78F7">
        <w:rPr>
          <w:rFonts w:ascii="Arial" w:hAnsi="Arial" w:cs="Arial"/>
          <w:sz w:val="24"/>
          <w:szCs w:val="24"/>
        </w:rPr>
        <w:lastRenderedPageBreak/>
        <w:t xml:space="preserve">the principle of legality and that it constitutes a reasonable and justifiable limitation of the right to strike and other associated </w:t>
      </w:r>
      <w:r w:rsidR="00790F45">
        <w:rPr>
          <w:rFonts w:ascii="Arial" w:hAnsi="Arial" w:cs="Arial"/>
          <w:sz w:val="24"/>
          <w:szCs w:val="24"/>
        </w:rPr>
        <w:t>rights</w:t>
      </w:r>
      <w:r w:rsidR="00D34317">
        <w:rPr>
          <w:rFonts w:ascii="Arial" w:hAnsi="Arial" w:cs="Arial"/>
          <w:sz w:val="24"/>
          <w:szCs w:val="24"/>
        </w:rPr>
        <w:t>,</w:t>
      </w:r>
      <w:r w:rsidR="00790F45">
        <w:rPr>
          <w:rFonts w:ascii="Arial" w:hAnsi="Arial" w:cs="Arial"/>
          <w:sz w:val="24"/>
          <w:szCs w:val="24"/>
        </w:rPr>
        <w:t xml:space="preserve"> that</w:t>
      </w:r>
      <w:r w:rsidR="00D34317">
        <w:rPr>
          <w:rFonts w:ascii="Arial" w:hAnsi="Arial" w:cs="Arial"/>
          <w:sz w:val="24"/>
          <w:szCs w:val="24"/>
        </w:rPr>
        <w:t xml:space="preserve"> the counter-</w:t>
      </w:r>
      <w:r w:rsidR="003A78F7">
        <w:rPr>
          <w:rFonts w:ascii="Arial" w:hAnsi="Arial" w:cs="Arial"/>
          <w:sz w:val="24"/>
          <w:szCs w:val="24"/>
        </w:rPr>
        <w:t>application stands to be dismissed.</w:t>
      </w:r>
    </w:p>
    <w:p w:rsidR="003A78F7" w:rsidRDefault="003A78F7" w:rsidP="00A826E5">
      <w:pPr>
        <w:spacing w:line="360" w:lineRule="auto"/>
        <w:ind w:left="720" w:hanging="720"/>
        <w:jc w:val="both"/>
        <w:rPr>
          <w:rFonts w:ascii="Arial" w:hAnsi="Arial" w:cs="Arial"/>
          <w:sz w:val="24"/>
          <w:szCs w:val="24"/>
        </w:rPr>
      </w:pPr>
      <w:r>
        <w:rPr>
          <w:rFonts w:ascii="Arial" w:hAnsi="Arial" w:cs="Arial"/>
          <w:sz w:val="24"/>
          <w:szCs w:val="24"/>
        </w:rPr>
        <w:t xml:space="preserve"> </w:t>
      </w:r>
      <w:r w:rsidR="008518D3">
        <w:rPr>
          <w:rFonts w:ascii="Arial" w:hAnsi="Arial" w:cs="Arial"/>
          <w:sz w:val="24"/>
          <w:szCs w:val="24"/>
        </w:rPr>
        <w:t>[74</w:t>
      </w:r>
      <w:r w:rsidR="000F108B">
        <w:rPr>
          <w:rFonts w:ascii="Arial" w:hAnsi="Arial" w:cs="Arial"/>
          <w:sz w:val="24"/>
          <w:szCs w:val="24"/>
        </w:rPr>
        <w:t>]</w:t>
      </w:r>
      <w:r w:rsidR="000F108B">
        <w:rPr>
          <w:rFonts w:ascii="Arial" w:hAnsi="Arial" w:cs="Arial"/>
          <w:sz w:val="24"/>
          <w:szCs w:val="24"/>
        </w:rPr>
        <w:tab/>
        <w:t>I</w:t>
      </w:r>
      <w:r>
        <w:rPr>
          <w:rFonts w:ascii="Arial" w:hAnsi="Arial" w:cs="Arial"/>
          <w:sz w:val="24"/>
          <w:szCs w:val="24"/>
        </w:rPr>
        <w:t xml:space="preserve">n the main application, </w:t>
      </w:r>
      <w:r w:rsidR="00120822">
        <w:rPr>
          <w:rFonts w:ascii="Arial" w:hAnsi="Arial" w:cs="Arial"/>
          <w:sz w:val="24"/>
          <w:szCs w:val="24"/>
        </w:rPr>
        <w:t xml:space="preserve">and </w:t>
      </w:r>
      <w:r>
        <w:rPr>
          <w:rFonts w:ascii="Arial" w:hAnsi="Arial" w:cs="Arial"/>
          <w:sz w:val="24"/>
          <w:szCs w:val="24"/>
        </w:rPr>
        <w:t xml:space="preserve">to the extent that AMCU contends that s 23 (1) (d) </w:t>
      </w:r>
      <w:r w:rsidR="00D34317">
        <w:rPr>
          <w:rFonts w:ascii="Arial" w:hAnsi="Arial" w:cs="Arial"/>
          <w:sz w:val="24"/>
          <w:szCs w:val="24"/>
        </w:rPr>
        <w:t xml:space="preserve">must </w:t>
      </w:r>
      <w:r>
        <w:rPr>
          <w:rFonts w:ascii="Arial" w:hAnsi="Arial" w:cs="Arial"/>
          <w:sz w:val="24"/>
          <w:szCs w:val="24"/>
        </w:rPr>
        <w:t>necessarily be interpreted to mean that each of the em</w:t>
      </w:r>
      <w:r w:rsidR="00A552C9">
        <w:rPr>
          <w:rFonts w:ascii="Arial" w:hAnsi="Arial" w:cs="Arial"/>
          <w:sz w:val="24"/>
          <w:szCs w:val="24"/>
        </w:rPr>
        <w:t>ployers’</w:t>
      </w:r>
      <w:r w:rsidR="00D34317">
        <w:rPr>
          <w:rFonts w:ascii="Arial" w:hAnsi="Arial" w:cs="Arial"/>
          <w:sz w:val="24"/>
          <w:szCs w:val="24"/>
        </w:rPr>
        <w:t xml:space="preserve"> mine</w:t>
      </w:r>
      <w:r>
        <w:rPr>
          <w:rFonts w:ascii="Arial" w:hAnsi="Arial" w:cs="Arial"/>
          <w:sz w:val="24"/>
          <w:szCs w:val="24"/>
        </w:rPr>
        <w:t>s cons</w:t>
      </w:r>
      <w:r w:rsidR="00D34317">
        <w:rPr>
          <w:rFonts w:ascii="Arial" w:hAnsi="Arial" w:cs="Arial"/>
          <w:sz w:val="24"/>
          <w:szCs w:val="24"/>
        </w:rPr>
        <w:t xml:space="preserve">titute a workplace, </w:t>
      </w:r>
      <w:r w:rsidR="000F108B">
        <w:rPr>
          <w:rFonts w:ascii="Arial" w:hAnsi="Arial" w:cs="Arial"/>
          <w:sz w:val="24"/>
          <w:szCs w:val="24"/>
        </w:rPr>
        <w:t xml:space="preserve">it follows that </w:t>
      </w:r>
      <w:r w:rsidR="00D34317">
        <w:rPr>
          <w:rFonts w:ascii="Arial" w:hAnsi="Arial" w:cs="Arial"/>
          <w:sz w:val="24"/>
          <w:szCs w:val="24"/>
        </w:rPr>
        <w:t>even if there</w:t>
      </w:r>
      <w:r>
        <w:rPr>
          <w:rFonts w:ascii="Arial" w:hAnsi="Arial" w:cs="Arial"/>
          <w:sz w:val="24"/>
          <w:szCs w:val="24"/>
        </w:rPr>
        <w:t xml:space="preserve"> were a reasonably plausible </w:t>
      </w:r>
      <w:r w:rsidR="00790F45">
        <w:rPr>
          <w:rFonts w:ascii="Arial" w:hAnsi="Arial" w:cs="Arial"/>
          <w:sz w:val="24"/>
          <w:szCs w:val="24"/>
        </w:rPr>
        <w:t xml:space="preserve">interpretation to this effect, </w:t>
      </w:r>
      <w:r>
        <w:rPr>
          <w:rFonts w:ascii="Arial" w:hAnsi="Arial" w:cs="Arial"/>
          <w:sz w:val="24"/>
          <w:szCs w:val="24"/>
        </w:rPr>
        <w:t xml:space="preserve">given the justification for the limitation </w:t>
      </w:r>
      <w:r w:rsidR="00120822">
        <w:rPr>
          <w:rFonts w:ascii="Arial" w:hAnsi="Arial" w:cs="Arial"/>
          <w:sz w:val="24"/>
          <w:szCs w:val="24"/>
        </w:rPr>
        <w:t>of the right to strike contained in</w:t>
      </w:r>
      <w:r>
        <w:rPr>
          <w:rFonts w:ascii="Arial" w:hAnsi="Arial" w:cs="Arial"/>
          <w:sz w:val="24"/>
          <w:szCs w:val="24"/>
        </w:rPr>
        <w:t xml:space="preserve"> that section, it is not an interpretation that should be upheld.</w:t>
      </w:r>
    </w:p>
    <w:p w:rsidR="00D34317" w:rsidRPr="00D34317" w:rsidRDefault="00D34317" w:rsidP="00A826E5">
      <w:pPr>
        <w:spacing w:line="360" w:lineRule="auto"/>
        <w:ind w:left="720" w:hanging="720"/>
        <w:jc w:val="both"/>
        <w:rPr>
          <w:rFonts w:ascii="Arial" w:hAnsi="Arial" w:cs="Arial"/>
          <w:sz w:val="24"/>
          <w:szCs w:val="24"/>
          <w:u w:val="single"/>
        </w:rPr>
      </w:pPr>
      <w:r w:rsidRPr="00D34317">
        <w:rPr>
          <w:rFonts w:ascii="Arial" w:hAnsi="Arial" w:cs="Arial"/>
          <w:sz w:val="24"/>
          <w:szCs w:val="24"/>
          <w:u w:val="single"/>
        </w:rPr>
        <w:t>Costs</w:t>
      </w:r>
    </w:p>
    <w:p w:rsidR="00D34317" w:rsidRDefault="008518D3" w:rsidP="00A826E5">
      <w:pPr>
        <w:spacing w:line="360" w:lineRule="auto"/>
        <w:ind w:left="720" w:hanging="720"/>
        <w:jc w:val="both"/>
        <w:rPr>
          <w:rFonts w:ascii="Arial" w:hAnsi="Arial" w:cs="Arial"/>
          <w:sz w:val="24"/>
          <w:szCs w:val="24"/>
        </w:rPr>
      </w:pPr>
      <w:r>
        <w:rPr>
          <w:rFonts w:ascii="Arial" w:hAnsi="Arial" w:cs="Arial"/>
          <w:sz w:val="24"/>
          <w:szCs w:val="24"/>
        </w:rPr>
        <w:t>[75</w:t>
      </w:r>
      <w:r w:rsidR="009E7243">
        <w:rPr>
          <w:rFonts w:ascii="Arial" w:hAnsi="Arial" w:cs="Arial"/>
          <w:sz w:val="24"/>
          <w:szCs w:val="24"/>
        </w:rPr>
        <w:t>]</w:t>
      </w:r>
      <w:r w:rsidR="009E7243">
        <w:rPr>
          <w:rFonts w:ascii="Arial" w:hAnsi="Arial" w:cs="Arial"/>
          <w:sz w:val="24"/>
          <w:szCs w:val="24"/>
        </w:rPr>
        <w:tab/>
      </w:r>
      <w:r w:rsidR="003A78F7">
        <w:rPr>
          <w:rFonts w:ascii="Arial" w:hAnsi="Arial" w:cs="Arial"/>
          <w:sz w:val="24"/>
          <w:szCs w:val="24"/>
        </w:rPr>
        <w:t>Finally, in relation to costs, there is no reason why, in the main application, costs should not follow the result. I did not understand any of the partie</w:t>
      </w:r>
      <w:r w:rsidR="00120822">
        <w:rPr>
          <w:rFonts w:ascii="Arial" w:hAnsi="Arial" w:cs="Arial"/>
          <w:sz w:val="24"/>
          <w:szCs w:val="24"/>
        </w:rPr>
        <w:t>s to that application to contend</w:t>
      </w:r>
      <w:r w:rsidR="003A78F7">
        <w:rPr>
          <w:rFonts w:ascii="Arial" w:hAnsi="Arial" w:cs="Arial"/>
          <w:sz w:val="24"/>
          <w:szCs w:val="24"/>
        </w:rPr>
        <w:t xml:space="preserve"> any differently. In regard to the counter application, the</w:t>
      </w:r>
      <w:r w:rsidR="00120822">
        <w:rPr>
          <w:rFonts w:ascii="Arial" w:hAnsi="Arial" w:cs="Arial"/>
          <w:sz w:val="24"/>
          <w:szCs w:val="24"/>
        </w:rPr>
        <w:t>re was consensus that the cross-</w:t>
      </w:r>
      <w:r w:rsidR="003A78F7">
        <w:rPr>
          <w:rFonts w:ascii="Arial" w:hAnsi="Arial" w:cs="Arial"/>
          <w:sz w:val="24"/>
          <w:szCs w:val="24"/>
        </w:rPr>
        <w:t>application constituted an attempt to vindicate constitutional rights that was neither frivolous nor vex</w:t>
      </w:r>
      <w:r w:rsidR="00120822">
        <w:rPr>
          <w:rFonts w:ascii="Arial" w:hAnsi="Arial" w:cs="Arial"/>
          <w:sz w:val="24"/>
          <w:szCs w:val="24"/>
        </w:rPr>
        <w:t>atious and that the respondents’</w:t>
      </w:r>
      <w:r w:rsidR="003A78F7">
        <w:rPr>
          <w:rFonts w:ascii="Arial" w:hAnsi="Arial" w:cs="Arial"/>
          <w:sz w:val="24"/>
          <w:szCs w:val="24"/>
        </w:rPr>
        <w:t xml:space="preserve"> opposition to that application was similarly motivated. For that reason, I intend to make no order as to costs in </w:t>
      </w:r>
      <w:r>
        <w:rPr>
          <w:rFonts w:ascii="Arial" w:hAnsi="Arial" w:cs="Arial"/>
          <w:sz w:val="24"/>
          <w:szCs w:val="24"/>
        </w:rPr>
        <w:t>respect of the counter-</w:t>
      </w:r>
      <w:r w:rsidR="003A78F7">
        <w:rPr>
          <w:rFonts w:ascii="Arial" w:hAnsi="Arial" w:cs="Arial"/>
          <w:sz w:val="24"/>
          <w:szCs w:val="24"/>
        </w:rPr>
        <w:t>application</w:t>
      </w:r>
      <w:r>
        <w:rPr>
          <w:rFonts w:ascii="Arial" w:hAnsi="Arial" w:cs="Arial"/>
          <w:sz w:val="24"/>
          <w:szCs w:val="24"/>
        </w:rPr>
        <w:t>.</w:t>
      </w:r>
      <w:r w:rsidR="009E7243">
        <w:rPr>
          <w:rFonts w:ascii="Arial" w:hAnsi="Arial" w:cs="Arial"/>
          <w:sz w:val="24"/>
          <w:szCs w:val="24"/>
        </w:rPr>
        <w:tab/>
      </w:r>
    </w:p>
    <w:p w:rsidR="00A370D4" w:rsidRDefault="00A370D4" w:rsidP="008518D3">
      <w:pPr>
        <w:spacing w:line="360" w:lineRule="auto"/>
        <w:jc w:val="both"/>
        <w:rPr>
          <w:rFonts w:ascii="Arial" w:hAnsi="Arial" w:cs="Arial"/>
          <w:sz w:val="24"/>
          <w:szCs w:val="24"/>
        </w:rPr>
      </w:pPr>
      <w:r>
        <w:rPr>
          <w:rFonts w:ascii="Arial" w:hAnsi="Arial" w:cs="Arial"/>
          <w:sz w:val="24"/>
          <w:szCs w:val="24"/>
        </w:rPr>
        <w:t>I make the following order:</w:t>
      </w:r>
    </w:p>
    <w:p w:rsidR="00A370D4" w:rsidRDefault="00A370D4" w:rsidP="00A826E5">
      <w:pPr>
        <w:pStyle w:val="ListParagraph"/>
        <w:numPr>
          <w:ilvl w:val="0"/>
          <w:numId w:val="8"/>
        </w:numPr>
        <w:spacing w:line="360" w:lineRule="auto"/>
        <w:jc w:val="both"/>
        <w:rPr>
          <w:rFonts w:ascii="Arial" w:hAnsi="Arial" w:cs="Arial"/>
          <w:sz w:val="24"/>
          <w:szCs w:val="24"/>
        </w:rPr>
      </w:pPr>
      <w:r>
        <w:rPr>
          <w:rFonts w:ascii="Arial" w:hAnsi="Arial" w:cs="Arial"/>
          <w:sz w:val="24"/>
          <w:szCs w:val="24"/>
        </w:rPr>
        <w:t xml:space="preserve">The rule </w:t>
      </w:r>
      <w:r w:rsidRPr="005C01EA">
        <w:rPr>
          <w:rFonts w:ascii="Arial" w:hAnsi="Arial" w:cs="Arial"/>
          <w:i/>
          <w:sz w:val="24"/>
          <w:szCs w:val="24"/>
        </w:rPr>
        <w:t>nisi</w:t>
      </w:r>
      <w:r>
        <w:rPr>
          <w:rFonts w:ascii="Arial" w:hAnsi="Arial" w:cs="Arial"/>
          <w:sz w:val="24"/>
          <w:szCs w:val="24"/>
        </w:rPr>
        <w:t xml:space="preserve"> issued on 30 J</w:t>
      </w:r>
      <w:r w:rsidR="008518D3">
        <w:rPr>
          <w:rFonts w:ascii="Arial" w:hAnsi="Arial" w:cs="Arial"/>
          <w:sz w:val="24"/>
          <w:szCs w:val="24"/>
        </w:rPr>
        <w:t xml:space="preserve">anuary </w:t>
      </w:r>
      <w:r>
        <w:rPr>
          <w:rFonts w:ascii="Arial" w:hAnsi="Arial" w:cs="Arial"/>
          <w:sz w:val="24"/>
          <w:szCs w:val="24"/>
        </w:rPr>
        <w:t>2014 is confirmed, with costs, such costs to include the engagement of two counsel.</w:t>
      </w:r>
    </w:p>
    <w:p w:rsidR="00A370D4" w:rsidRDefault="00A370D4" w:rsidP="00A826E5">
      <w:pPr>
        <w:pStyle w:val="ListParagraph"/>
        <w:numPr>
          <w:ilvl w:val="0"/>
          <w:numId w:val="8"/>
        </w:numPr>
        <w:spacing w:line="360" w:lineRule="auto"/>
        <w:jc w:val="both"/>
        <w:rPr>
          <w:rFonts w:ascii="Arial" w:hAnsi="Arial" w:cs="Arial"/>
          <w:sz w:val="24"/>
          <w:szCs w:val="24"/>
        </w:rPr>
      </w:pPr>
      <w:r>
        <w:rPr>
          <w:rFonts w:ascii="Arial" w:hAnsi="Arial" w:cs="Arial"/>
          <w:sz w:val="24"/>
          <w:szCs w:val="24"/>
        </w:rPr>
        <w:t>The c</w:t>
      </w:r>
      <w:r w:rsidR="008518D3">
        <w:rPr>
          <w:rFonts w:ascii="Arial" w:hAnsi="Arial" w:cs="Arial"/>
          <w:sz w:val="24"/>
          <w:szCs w:val="24"/>
        </w:rPr>
        <w:t>ounter</w:t>
      </w:r>
      <w:r>
        <w:rPr>
          <w:rFonts w:ascii="Arial" w:hAnsi="Arial" w:cs="Arial"/>
          <w:sz w:val="24"/>
          <w:szCs w:val="24"/>
        </w:rPr>
        <w:t>-application is dismissed, with no order as to costs.</w:t>
      </w:r>
    </w:p>
    <w:p w:rsidR="00A826E5" w:rsidRDefault="00A826E5" w:rsidP="00A826E5">
      <w:pPr>
        <w:pStyle w:val="ListParagraph"/>
        <w:spacing w:line="360" w:lineRule="auto"/>
        <w:ind w:left="1800"/>
        <w:jc w:val="both"/>
        <w:rPr>
          <w:rFonts w:ascii="Arial" w:hAnsi="Arial" w:cs="Arial"/>
          <w:sz w:val="24"/>
          <w:szCs w:val="24"/>
        </w:rPr>
      </w:pPr>
    </w:p>
    <w:p w:rsidR="004C4152" w:rsidRDefault="004C4152" w:rsidP="00A370D4">
      <w:pPr>
        <w:pStyle w:val="ListParagraph"/>
        <w:spacing w:line="360" w:lineRule="auto"/>
        <w:ind w:left="1800"/>
        <w:jc w:val="right"/>
        <w:rPr>
          <w:rFonts w:ascii="Arial" w:hAnsi="Arial" w:cs="Arial"/>
          <w:sz w:val="24"/>
          <w:szCs w:val="24"/>
        </w:rPr>
      </w:pPr>
    </w:p>
    <w:p w:rsidR="004C4152" w:rsidRDefault="004C4152" w:rsidP="00A370D4">
      <w:pPr>
        <w:pStyle w:val="ListParagraph"/>
        <w:spacing w:line="360" w:lineRule="auto"/>
        <w:ind w:left="1800"/>
        <w:jc w:val="right"/>
        <w:rPr>
          <w:rFonts w:ascii="Arial" w:hAnsi="Arial" w:cs="Arial"/>
          <w:sz w:val="24"/>
          <w:szCs w:val="24"/>
        </w:rPr>
      </w:pPr>
    </w:p>
    <w:p w:rsidR="004C4152" w:rsidRDefault="004C4152" w:rsidP="00A370D4">
      <w:pPr>
        <w:pStyle w:val="ListParagraph"/>
        <w:spacing w:line="360" w:lineRule="auto"/>
        <w:ind w:left="1800"/>
        <w:jc w:val="right"/>
        <w:rPr>
          <w:rFonts w:ascii="Arial" w:hAnsi="Arial" w:cs="Arial"/>
          <w:sz w:val="24"/>
          <w:szCs w:val="24"/>
        </w:rPr>
      </w:pPr>
    </w:p>
    <w:p w:rsidR="004C4152" w:rsidRDefault="004C4152" w:rsidP="00A370D4">
      <w:pPr>
        <w:pStyle w:val="ListParagraph"/>
        <w:spacing w:line="360" w:lineRule="auto"/>
        <w:ind w:left="1800"/>
        <w:jc w:val="right"/>
        <w:rPr>
          <w:rFonts w:ascii="Arial" w:hAnsi="Arial" w:cs="Arial"/>
          <w:sz w:val="24"/>
          <w:szCs w:val="24"/>
        </w:rPr>
      </w:pPr>
    </w:p>
    <w:p w:rsidR="00A370D4" w:rsidRDefault="00A370D4" w:rsidP="00A370D4">
      <w:pPr>
        <w:pStyle w:val="ListParagraph"/>
        <w:spacing w:line="360" w:lineRule="auto"/>
        <w:ind w:left="1800"/>
        <w:jc w:val="right"/>
        <w:rPr>
          <w:rFonts w:ascii="Arial" w:hAnsi="Arial" w:cs="Arial"/>
          <w:sz w:val="24"/>
          <w:szCs w:val="24"/>
        </w:rPr>
      </w:pPr>
      <w:r>
        <w:rPr>
          <w:rFonts w:ascii="Arial" w:hAnsi="Arial" w:cs="Arial"/>
          <w:sz w:val="24"/>
          <w:szCs w:val="24"/>
        </w:rPr>
        <w:t>ANDRE VAN NIEKERK</w:t>
      </w:r>
    </w:p>
    <w:p w:rsidR="00A370D4" w:rsidRDefault="00A370D4" w:rsidP="00A370D4">
      <w:pPr>
        <w:pStyle w:val="ListParagraph"/>
        <w:spacing w:line="360" w:lineRule="auto"/>
        <w:ind w:left="1800"/>
        <w:jc w:val="right"/>
        <w:rPr>
          <w:rFonts w:ascii="Arial" w:hAnsi="Arial" w:cs="Arial"/>
          <w:sz w:val="24"/>
          <w:szCs w:val="24"/>
        </w:rPr>
      </w:pPr>
      <w:r>
        <w:rPr>
          <w:rFonts w:ascii="Arial" w:hAnsi="Arial" w:cs="Arial"/>
          <w:sz w:val="24"/>
          <w:szCs w:val="24"/>
        </w:rPr>
        <w:t>JUDGE OF THE LABOUR COURT</w:t>
      </w:r>
    </w:p>
    <w:p w:rsidR="005C01EA" w:rsidRDefault="005C01EA" w:rsidP="004C4152">
      <w:pPr>
        <w:spacing w:line="360" w:lineRule="auto"/>
        <w:rPr>
          <w:rFonts w:ascii="Arial" w:hAnsi="Arial" w:cs="Arial"/>
          <w:sz w:val="24"/>
          <w:szCs w:val="24"/>
        </w:rPr>
      </w:pPr>
    </w:p>
    <w:p w:rsidR="003B601E" w:rsidRDefault="00A370D4" w:rsidP="004C4152">
      <w:pPr>
        <w:spacing w:line="360" w:lineRule="auto"/>
        <w:rPr>
          <w:rFonts w:ascii="Arial" w:hAnsi="Arial" w:cs="Arial"/>
          <w:sz w:val="24"/>
          <w:szCs w:val="24"/>
        </w:rPr>
      </w:pPr>
      <w:r w:rsidRPr="004C4152">
        <w:rPr>
          <w:rFonts w:ascii="Arial" w:hAnsi="Arial" w:cs="Arial"/>
          <w:sz w:val="24"/>
          <w:szCs w:val="24"/>
        </w:rPr>
        <w:t>APPEARANCES</w:t>
      </w:r>
    </w:p>
    <w:p w:rsidR="00AE037B" w:rsidRPr="00AE037B" w:rsidRDefault="00790F45" w:rsidP="00AE037B">
      <w:pPr>
        <w:rPr>
          <w:rFonts w:ascii="Arial" w:hAnsi="Arial" w:cs="Arial"/>
          <w:sz w:val="24"/>
          <w:szCs w:val="24"/>
          <w:u w:val="single"/>
        </w:rPr>
      </w:pPr>
      <w:r>
        <w:rPr>
          <w:rFonts w:ascii="Arial" w:hAnsi="Arial" w:cs="Arial"/>
          <w:sz w:val="24"/>
          <w:szCs w:val="24"/>
          <w:u w:val="single"/>
        </w:rPr>
        <w:t>In the main a</w:t>
      </w:r>
      <w:r w:rsidR="00AE037B" w:rsidRPr="00AE037B">
        <w:rPr>
          <w:rFonts w:ascii="Arial" w:hAnsi="Arial" w:cs="Arial"/>
          <w:sz w:val="24"/>
          <w:szCs w:val="24"/>
          <w:u w:val="single"/>
        </w:rPr>
        <w:t>pplication</w:t>
      </w:r>
    </w:p>
    <w:p w:rsidR="00AE037B" w:rsidRPr="00AE037B" w:rsidRDefault="00AE037B" w:rsidP="00AE037B">
      <w:pPr>
        <w:rPr>
          <w:rFonts w:ascii="Arial" w:hAnsi="Arial" w:cs="Arial"/>
          <w:sz w:val="24"/>
          <w:szCs w:val="24"/>
        </w:rPr>
      </w:pPr>
      <w:r w:rsidRPr="00AE037B">
        <w:rPr>
          <w:rFonts w:ascii="Arial" w:hAnsi="Arial" w:cs="Arial"/>
          <w:sz w:val="24"/>
          <w:szCs w:val="24"/>
        </w:rPr>
        <w:t xml:space="preserve">For the Applicant: </w:t>
      </w:r>
      <w:r w:rsidR="00790F45" w:rsidRPr="00AE037B">
        <w:rPr>
          <w:rFonts w:ascii="Arial" w:hAnsi="Arial" w:cs="Arial"/>
          <w:sz w:val="24"/>
          <w:szCs w:val="24"/>
        </w:rPr>
        <w:t>Adv.</w:t>
      </w:r>
      <w:r w:rsidRPr="00AE037B">
        <w:rPr>
          <w:rFonts w:ascii="Arial" w:hAnsi="Arial" w:cs="Arial"/>
          <w:sz w:val="24"/>
          <w:szCs w:val="24"/>
        </w:rPr>
        <w:t xml:space="preserve"> A Myburgh SC, with him </w:t>
      </w:r>
      <w:r w:rsidR="00790F45" w:rsidRPr="00AE037B">
        <w:rPr>
          <w:rFonts w:ascii="Arial" w:hAnsi="Arial" w:cs="Arial"/>
          <w:sz w:val="24"/>
          <w:szCs w:val="24"/>
        </w:rPr>
        <w:t>Adv.</w:t>
      </w:r>
      <w:r w:rsidRPr="00AE037B">
        <w:rPr>
          <w:rFonts w:ascii="Arial" w:hAnsi="Arial" w:cs="Arial"/>
          <w:sz w:val="24"/>
          <w:szCs w:val="24"/>
        </w:rPr>
        <w:t xml:space="preserve"> G Fourie and </w:t>
      </w:r>
      <w:r w:rsidR="00790F45" w:rsidRPr="00AE037B">
        <w:rPr>
          <w:rFonts w:ascii="Arial" w:hAnsi="Arial" w:cs="Arial"/>
          <w:sz w:val="24"/>
          <w:szCs w:val="24"/>
        </w:rPr>
        <w:t>Adv.</w:t>
      </w:r>
      <w:r w:rsidRPr="00AE037B">
        <w:rPr>
          <w:rFonts w:ascii="Arial" w:hAnsi="Arial" w:cs="Arial"/>
          <w:sz w:val="24"/>
          <w:szCs w:val="24"/>
        </w:rPr>
        <w:t xml:space="preserve"> T Ngcukaitobi instructed by ENS</w:t>
      </w:r>
    </w:p>
    <w:p w:rsidR="005C01EA" w:rsidRDefault="00AE037B" w:rsidP="00AE037B">
      <w:pPr>
        <w:rPr>
          <w:rFonts w:ascii="Arial" w:hAnsi="Arial" w:cs="Arial"/>
          <w:sz w:val="24"/>
          <w:szCs w:val="24"/>
          <w:u w:val="single"/>
        </w:rPr>
      </w:pPr>
      <w:r w:rsidRPr="00AE037B">
        <w:rPr>
          <w:rFonts w:ascii="Arial" w:hAnsi="Arial" w:cs="Arial"/>
          <w:sz w:val="24"/>
          <w:szCs w:val="24"/>
        </w:rPr>
        <w:t xml:space="preserve">For the First Respondent: </w:t>
      </w:r>
      <w:r w:rsidR="00790F45" w:rsidRPr="00AE037B">
        <w:rPr>
          <w:rFonts w:ascii="Arial" w:hAnsi="Arial" w:cs="Arial"/>
          <w:sz w:val="24"/>
          <w:szCs w:val="24"/>
        </w:rPr>
        <w:t>Adv.</w:t>
      </w:r>
      <w:r w:rsidRPr="00AE037B">
        <w:rPr>
          <w:rFonts w:ascii="Arial" w:hAnsi="Arial" w:cs="Arial"/>
          <w:sz w:val="24"/>
          <w:szCs w:val="24"/>
        </w:rPr>
        <w:t xml:space="preserve"> P Kennedy SC, with him </w:t>
      </w:r>
      <w:r w:rsidR="00790F45" w:rsidRPr="00AE037B">
        <w:rPr>
          <w:rFonts w:ascii="Arial" w:hAnsi="Arial" w:cs="Arial"/>
          <w:sz w:val="24"/>
          <w:szCs w:val="24"/>
        </w:rPr>
        <w:t>Adv.</w:t>
      </w:r>
      <w:r w:rsidRPr="00AE037B">
        <w:rPr>
          <w:rFonts w:ascii="Arial" w:hAnsi="Arial" w:cs="Arial"/>
          <w:sz w:val="24"/>
          <w:szCs w:val="24"/>
        </w:rPr>
        <w:t xml:space="preserve"> F Boda and </w:t>
      </w:r>
      <w:r w:rsidR="00790F45" w:rsidRPr="00AE037B">
        <w:rPr>
          <w:rFonts w:ascii="Arial" w:hAnsi="Arial" w:cs="Arial"/>
          <w:sz w:val="24"/>
          <w:szCs w:val="24"/>
        </w:rPr>
        <w:t>Adv.</w:t>
      </w:r>
      <w:r w:rsidRPr="00AE037B">
        <w:rPr>
          <w:rFonts w:ascii="Arial" w:hAnsi="Arial" w:cs="Arial"/>
          <w:sz w:val="24"/>
          <w:szCs w:val="24"/>
        </w:rPr>
        <w:t xml:space="preserve"> U September</w:t>
      </w:r>
      <w:r w:rsidR="00AE5798">
        <w:rPr>
          <w:rFonts w:ascii="Arial" w:hAnsi="Arial" w:cs="Arial"/>
          <w:sz w:val="24"/>
          <w:szCs w:val="24"/>
        </w:rPr>
        <w:t>,</w:t>
      </w:r>
      <w:r w:rsidRPr="00AE037B">
        <w:rPr>
          <w:rFonts w:ascii="Arial" w:hAnsi="Arial" w:cs="Arial"/>
          <w:sz w:val="24"/>
          <w:szCs w:val="24"/>
        </w:rPr>
        <w:t xml:space="preserve"> instructed by Larry Dave Inc. Attorneys</w:t>
      </w:r>
    </w:p>
    <w:p w:rsidR="00AE037B" w:rsidRPr="00AE037B" w:rsidRDefault="00AE5798" w:rsidP="00AE037B">
      <w:pPr>
        <w:rPr>
          <w:rFonts w:ascii="Arial" w:hAnsi="Arial" w:cs="Arial"/>
          <w:sz w:val="24"/>
          <w:szCs w:val="24"/>
          <w:u w:val="single"/>
        </w:rPr>
      </w:pPr>
      <w:r>
        <w:rPr>
          <w:rFonts w:ascii="Arial" w:hAnsi="Arial" w:cs="Arial"/>
          <w:sz w:val="24"/>
          <w:szCs w:val="24"/>
          <w:u w:val="single"/>
        </w:rPr>
        <w:t>In t</w:t>
      </w:r>
      <w:r w:rsidR="005C01EA">
        <w:rPr>
          <w:rFonts w:ascii="Arial" w:hAnsi="Arial" w:cs="Arial"/>
          <w:sz w:val="24"/>
          <w:szCs w:val="24"/>
          <w:u w:val="single"/>
        </w:rPr>
        <w:t>he</w:t>
      </w:r>
      <w:r w:rsidR="00790F45">
        <w:rPr>
          <w:rFonts w:ascii="Arial" w:hAnsi="Arial" w:cs="Arial"/>
          <w:sz w:val="24"/>
          <w:szCs w:val="24"/>
          <w:u w:val="single"/>
        </w:rPr>
        <w:t xml:space="preserve"> counter-a</w:t>
      </w:r>
      <w:r w:rsidR="00AE037B" w:rsidRPr="00AE037B">
        <w:rPr>
          <w:rFonts w:ascii="Arial" w:hAnsi="Arial" w:cs="Arial"/>
          <w:sz w:val="24"/>
          <w:szCs w:val="24"/>
          <w:u w:val="single"/>
        </w:rPr>
        <w:t>pplication</w:t>
      </w:r>
    </w:p>
    <w:p w:rsidR="00AE037B" w:rsidRPr="00AE037B" w:rsidRDefault="00AE037B" w:rsidP="00AE037B">
      <w:pPr>
        <w:rPr>
          <w:rFonts w:ascii="Arial" w:hAnsi="Arial" w:cs="Arial"/>
          <w:sz w:val="24"/>
          <w:szCs w:val="24"/>
        </w:rPr>
      </w:pPr>
      <w:r w:rsidRPr="00AE037B">
        <w:rPr>
          <w:rFonts w:ascii="Arial" w:hAnsi="Arial" w:cs="Arial"/>
          <w:sz w:val="24"/>
          <w:szCs w:val="24"/>
        </w:rPr>
        <w:t xml:space="preserve">For the applicant: </w:t>
      </w:r>
      <w:r w:rsidR="00790F45" w:rsidRPr="00AE037B">
        <w:rPr>
          <w:rFonts w:ascii="Arial" w:hAnsi="Arial" w:cs="Arial"/>
          <w:sz w:val="24"/>
          <w:szCs w:val="24"/>
        </w:rPr>
        <w:t>Adv.</w:t>
      </w:r>
      <w:r w:rsidRPr="00AE037B">
        <w:rPr>
          <w:rFonts w:ascii="Arial" w:hAnsi="Arial" w:cs="Arial"/>
          <w:sz w:val="24"/>
          <w:szCs w:val="24"/>
        </w:rPr>
        <w:t xml:space="preserve"> P Kennedy SC, with him </w:t>
      </w:r>
      <w:r w:rsidR="00790F45" w:rsidRPr="00AE037B">
        <w:rPr>
          <w:rFonts w:ascii="Arial" w:hAnsi="Arial" w:cs="Arial"/>
          <w:sz w:val="24"/>
          <w:szCs w:val="24"/>
        </w:rPr>
        <w:t>Adv.</w:t>
      </w:r>
      <w:r w:rsidRPr="00AE037B">
        <w:rPr>
          <w:rFonts w:ascii="Arial" w:hAnsi="Arial" w:cs="Arial"/>
          <w:sz w:val="24"/>
          <w:szCs w:val="24"/>
        </w:rPr>
        <w:t xml:space="preserve"> F Boda and </w:t>
      </w:r>
      <w:r w:rsidR="00790F45" w:rsidRPr="00AE037B">
        <w:rPr>
          <w:rFonts w:ascii="Arial" w:hAnsi="Arial" w:cs="Arial"/>
          <w:sz w:val="24"/>
          <w:szCs w:val="24"/>
        </w:rPr>
        <w:t>Adv.</w:t>
      </w:r>
      <w:r w:rsidRPr="00AE037B">
        <w:rPr>
          <w:rFonts w:ascii="Arial" w:hAnsi="Arial" w:cs="Arial"/>
          <w:sz w:val="24"/>
          <w:szCs w:val="24"/>
        </w:rPr>
        <w:t xml:space="preserve"> U September  instructed by Larry Dave </w:t>
      </w:r>
      <w:r w:rsidR="005C01EA" w:rsidRPr="00AE037B">
        <w:rPr>
          <w:rFonts w:ascii="Arial" w:hAnsi="Arial" w:cs="Arial"/>
          <w:sz w:val="24"/>
          <w:szCs w:val="24"/>
        </w:rPr>
        <w:t>Inc.</w:t>
      </w:r>
      <w:r w:rsidRPr="00AE037B">
        <w:rPr>
          <w:rFonts w:ascii="Arial" w:hAnsi="Arial" w:cs="Arial"/>
          <w:sz w:val="24"/>
          <w:szCs w:val="24"/>
        </w:rPr>
        <w:t>, Attorneys</w:t>
      </w:r>
    </w:p>
    <w:p w:rsidR="00AE037B" w:rsidRPr="00AE037B" w:rsidRDefault="00AE037B" w:rsidP="00AE037B">
      <w:pPr>
        <w:rPr>
          <w:rFonts w:ascii="Arial" w:hAnsi="Arial" w:cs="Arial"/>
          <w:sz w:val="24"/>
          <w:szCs w:val="24"/>
        </w:rPr>
      </w:pPr>
      <w:r w:rsidRPr="00AE037B">
        <w:rPr>
          <w:rFonts w:ascii="Arial" w:hAnsi="Arial" w:cs="Arial"/>
          <w:sz w:val="24"/>
          <w:szCs w:val="24"/>
        </w:rPr>
        <w:t xml:space="preserve">For the First Respondent: </w:t>
      </w:r>
      <w:r w:rsidR="00790F45" w:rsidRPr="00AE037B">
        <w:rPr>
          <w:rFonts w:ascii="Arial" w:hAnsi="Arial" w:cs="Arial"/>
          <w:sz w:val="24"/>
          <w:szCs w:val="24"/>
        </w:rPr>
        <w:t>Adv.</w:t>
      </w:r>
      <w:r w:rsidRPr="00AE037B">
        <w:rPr>
          <w:rFonts w:ascii="Arial" w:hAnsi="Arial" w:cs="Arial"/>
          <w:sz w:val="24"/>
          <w:szCs w:val="24"/>
        </w:rPr>
        <w:t xml:space="preserve"> A Myburgh SC, with him </w:t>
      </w:r>
      <w:r w:rsidR="00790F45" w:rsidRPr="00AE037B">
        <w:rPr>
          <w:rFonts w:ascii="Arial" w:hAnsi="Arial" w:cs="Arial"/>
          <w:sz w:val="24"/>
          <w:szCs w:val="24"/>
        </w:rPr>
        <w:t>Adv.</w:t>
      </w:r>
      <w:r w:rsidRPr="00AE037B">
        <w:rPr>
          <w:rFonts w:ascii="Arial" w:hAnsi="Arial" w:cs="Arial"/>
          <w:sz w:val="24"/>
          <w:szCs w:val="24"/>
        </w:rPr>
        <w:t xml:space="preserve"> G Fourie and </w:t>
      </w:r>
      <w:r w:rsidR="00790F45" w:rsidRPr="00AE037B">
        <w:rPr>
          <w:rFonts w:ascii="Arial" w:hAnsi="Arial" w:cs="Arial"/>
          <w:sz w:val="24"/>
          <w:szCs w:val="24"/>
        </w:rPr>
        <w:t>Adv.</w:t>
      </w:r>
      <w:r w:rsidRPr="00AE037B">
        <w:rPr>
          <w:rFonts w:ascii="Arial" w:hAnsi="Arial" w:cs="Arial"/>
          <w:sz w:val="24"/>
          <w:szCs w:val="24"/>
        </w:rPr>
        <w:t xml:space="preserve"> T Ngcukaitobi instructed by ENS</w:t>
      </w:r>
    </w:p>
    <w:p w:rsidR="00AE037B" w:rsidRPr="00AE037B" w:rsidRDefault="00AE037B" w:rsidP="00AE037B">
      <w:pPr>
        <w:rPr>
          <w:rFonts w:ascii="Arial" w:hAnsi="Arial" w:cs="Arial"/>
          <w:sz w:val="24"/>
          <w:szCs w:val="24"/>
        </w:rPr>
      </w:pPr>
      <w:r w:rsidRPr="00AE037B">
        <w:rPr>
          <w:rFonts w:ascii="Arial" w:hAnsi="Arial" w:cs="Arial"/>
          <w:sz w:val="24"/>
          <w:szCs w:val="24"/>
        </w:rPr>
        <w:t xml:space="preserve">For the Second Respondent: </w:t>
      </w:r>
      <w:r w:rsidR="00790F45" w:rsidRPr="00AE037B">
        <w:rPr>
          <w:rFonts w:ascii="Arial" w:hAnsi="Arial" w:cs="Arial"/>
          <w:sz w:val="24"/>
          <w:szCs w:val="24"/>
        </w:rPr>
        <w:t>Adv.</w:t>
      </w:r>
      <w:r w:rsidRPr="00AE037B">
        <w:rPr>
          <w:rFonts w:ascii="Arial" w:hAnsi="Arial" w:cs="Arial"/>
          <w:sz w:val="24"/>
          <w:szCs w:val="24"/>
        </w:rPr>
        <w:t xml:space="preserve"> A Freund SC, with him Adv. J Brickhill instructed by Cheadle Thompson &amp; Haysom</w:t>
      </w:r>
    </w:p>
    <w:p w:rsidR="00AE037B" w:rsidRPr="00AE037B" w:rsidRDefault="00AE037B" w:rsidP="00AE037B">
      <w:pPr>
        <w:rPr>
          <w:rFonts w:ascii="Arial" w:hAnsi="Arial" w:cs="Arial"/>
          <w:sz w:val="24"/>
          <w:szCs w:val="24"/>
        </w:rPr>
      </w:pPr>
      <w:r w:rsidRPr="00AE037B">
        <w:rPr>
          <w:rFonts w:ascii="Arial" w:hAnsi="Arial" w:cs="Arial"/>
          <w:sz w:val="24"/>
          <w:szCs w:val="24"/>
        </w:rPr>
        <w:t xml:space="preserve">For the Third Respondent: </w:t>
      </w:r>
      <w:r w:rsidR="00790F45" w:rsidRPr="00AE037B">
        <w:rPr>
          <w:rFonts w:ascii="Arial" w:hAnsi="Arial" w:cs="Arial"/>
          <w:sz w:val="24"/>
          <w:szCs w:val="24"/>
        </w:rPr>
        <w:t>Adv.</w:t>
      </w:r>
      <w:r w:rsidRPr="00AE037B">
        <w:rPr>
          <w:rFonts w:ascii="Arial" w:hAnsi="Arial" w:cs="Arial"/>
          <w:sz w:val="24"/>
          <w:szCs w:val="24"/>
        </w:rPr>
        <w:t xml:space="preserve"> I Posthumus instructed by Serfontein Viljoen and Swart</w:t>
      </w:r>
    </w:p>
    <w:p w:rsidR="00AE037B" w:rsidRPr="00AE037B" w:rsidRDefault="00AE037B" w:rsidP="00AE037B">
      <w:pPr>
        <w:rPr>
          <w:rFonts w:ascii="Arial" w:hAnsi="Arial" w:cs="Arial"/>
          <w:sz w:val="24"/>
          <w:szCs w:val="24"/>
        </w:rPr>
      </w:pPr>
      <w:r w:rsidRPr="00AE037B">
        <w:rPr>
          <w:rFonts w:ascii="Arial" w:hAnsi="Arial" w:cs="Arial"/>
          <w:sz w:val="24"/>
          <w:szCs w:val="24"/>
        </w:rPr>
        <w:t xml:space="preserve">For the Fifth Respondent: </w:t>
      </w:r>
      <w:r w:rsidR="00790F45" w:rsidRPr="00AE037B">
        <w:rPr>
          <w:rFonts w:ascii="Arial" w:hAnsi="Arial" w:cs="Arial"/>
          <w:sz w:val="24"/>
          <w:szCs w:val="24"/>
        </w:rPr>
        <w:t>Adv.</w:t>
      </w:r>
      <w:r w:rsidRPr="00AE037B">
        <w:rPr>
          <w:rFonts w:ascii="Arial" w:hAnsi="Arial" w:cs="Arial"/>
          <w:sz w:val="24"/>
          <w:szCs w:val="24"/>
        </w:rPr>
        <w:t xml:space="preserve"> TJB Bokaba SC, with him </w:t>
      </w:r>
      <w:r w:rsidR="00790F45" w:rsidRPr="00AE037B">
        <w:rPr>
          <w:rFonts w:ascii="Arial" w:hAnsi="Arial" w:cs="Arial"/>
          <w:sz w:val="24"/>
          <w:szCs w:val="24"/>
        </w:rPr>
        <w:t>Adv.</w:t>
      </w:r>
      <w:r w:rsidR="00120822">
        <w:rPr>
          <w:rFonts w:ascii="Arial" w:hAnsi="Arial" w:cs="Arial"/>
          <w:sz w:val="24"/>
          <w:szCs w:val="24"/>
        </w:rPr>
        <w:t xml:space="preserve"> B Lecoge</w:t>
      </w:r>
      <w:r w:rsidR="008518D3">
        <w:rPr>
          <w:rFonts w:ascii="Arial" w:hAnsi="Arial" w:cs="Arial"/>
          <w:sz w:val="24"/>
          <w:szCs w:val="24"/>
        </w:rPr>
        <w:t xml:space="preserve"> and Adv. B Morris </w:t>
      </w:r>
      <w:r w:rsidR="00120822">
        <w:rPr>
          <w:rFonts w:ascii="Arial" w:hAnsi="Arial" w:cs="Arial"/>
          <w:sz w:val="24"/>
          <w:szCs w:val="24"/>
        </w:rPr>
        <w:t xml:space="preserve"> </w:t>
      </w:r>
      <w:r w:rsidRPr="00AE037B">
        <w:rPr>
          <w:rFonts w:ascii="Arial" w:hAnsi="Arial" w:cs="Arial"/>
          <w:sz w:val="24"/>
          <w:szCs w:val="24"/>
        </w:rPr>
        <w:t>instructed by The State Attorney Pretoria</w:t>
      </w:r>
    </w:p>
    <w:sectPr w:rsidR="00AE037B" w:rsidRPr="00AE037B" w:rsidSect="00476015">
      <w:headerReference w:type="even" r:id="rId10"/>
      <w:head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A98" w:rsidRDefault="008F0A98" w:rsidP="001D6384">
      <w:pPr>
        <w:spacing w:after="0" w:line="240" w:lineRule="auto"/>
      </w:pPr>
      <w:r>
        <w:separator/>
      </w:r>
    </w:p>
  </w:endnote>
  <w:endnote w:type="continuationSeparator" w:id="0">
    <w:p w:rsidR="008F0A98" w:rsidRDefault="008F0A98" w:rsidP="001D6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A98" w:rsidRDefault="008F0A98" w:rsidP="001D6384">
      <w:pPr>
        <w:spacing w:after="0" w:line="240" w:lineRule="auto"/>
      </w:pPr>
      <w:r>
        <w:separator/>
      </w:r>
    </w:p>
  </w:footnote>
  <w:footnote w:type="continuationSeparator" w:id="0">
    <w:p w:rsidR="008F0A98" w:rsidRDefault="008F0A98" w:rsidP="001D6384">
      <w:pPr>
        <w:spacing w:after="0" w:line="240" w:lineRule="auto"/>
      </w:pPr>
      <w:r>
        <w:continuationSeparator/>
      </w:r>
    </w:p>
  </w:footnote>
  <w:footnote w:id="1">
    <w:p w:rsidR="008F0A98" w:rsidRPr="008F0A98" w:rsidRDefault="008F0A98">
      <w:pPr>
        <w:pStyle w:val="FootnoteText"/>
        <w:rPr>
          <w:rFonts w:ascii="Arial" w:hAnsi="Arial" w:cs="Arial"/>
          <w:sz w:val="22"/>
          <w:szCs w:val="22"/>
        </w:rPr>
      </w:pPr>
      <w:r w:rsidRPr="008F0A98">
        <w:rPr>
          <w:rStyle w:val="FootnoteReference"/>
          <w:rFonts w:ascii="Arial" w:hAnsi="Arial" w:cs="Arial"/>
          <w:sz w:val="22"/>
          <w:szCs w:val="22"/>
        </w:rPr>
        <w:footnoteRef/>
      </w:r>
      <w:r w:rsidRPr="008F0A98">
        <w:rPr>
          <w:rFonts w:ascii="Arial" w:hAnsi="Arial" w:cs="Arial"/>
          <w:sz w:val="22"/>
          <w:szCs w:val="22"/>
        </w:rPr>
        <w:t xml:space="preserve"> The judgment in which the interim order was granted is reported at (2014) 35 </w:t>
      </w:r>
      <w:r w:rsidRPr="0091426E">
        <w:rPr>
          <w:rFonts w:ascii="Arial" w:hAnsi="Arial" w:cs="Arial"/>
          <w:i/>
          <w:sz w:val="22"/>
          <w:szCs w:val="22"/>
        </w:rPr>
        <w:t>ILJ</w:t>
      </w:r>
      <w:r w:rsidRPr="008F0A98">
        <w:rPr>
          <w:rFonts w:ascii="Arial" w:hAnsi="Arial" w:cs="Arial"/>
          <w:sz w:val="22"/>
          <w:szCs w:val="22"/>
        </w:rPr>
        <w:t xml:space="preserve"> 1243 (LC).</w:t>
      </w:r>
    </w:p>
  </w:footnote>
  <w:footnote w:id="2">
    <w:p w:rsidR="008F0A98" w:rsidRPr="00B11FDD" w:rsidRDefault="008F0A98">
      <w:pPr>
        <w:pStyle w:val="FootnoteText"/>
        <w:rPr>
          <w:rFonts w:ascii="Arial" w:hAnsi="Arial" w:cs="Arial"/>
          <w:sz w:val="22"/>
          <w:szCs w:val="22"/>
        </w:rPr>
      </w:pPr>
      <w:r w:rsidRPr="00B11FDD">
        <w:rPr>
          <w:rStyle w:val="FootnoteReference"/>
          <w:rFonts w:ascii="Arial" w:hAnsi="Arial" w:cs="Arial"/>
          <w:sz w:val="22"/>
          <w:szCs w:val="22"/>
        </w:rPr>
        <w:footnoteRef/>
      </w:r>
      <w:r w:rsidRPr="00B11FDD">
        <w:rPr>
          <w:rFonts w:ascii="Arial" w:hAnsi="Arial" w:cs="Arial"/>
          <w:sz w:val="22"/>
          <w:szCs w:val="22"/>
        </w:rPr>
        <w:t xml:space="preserve"> UASA filed an affidavit ‘to clarify issues pertaining to the fourth respondent’ but did not otherwise participate in the proceedings.  </w:t>
      </w:r>
    </w:p>
  </w:footnote>
  <w:footnote w:id="3">
    <w:p w:rsidR="008F0A98" w:rsidRPr="00B11FDD" w:rsidRDefault="008F0A98">
      <w:pPr>
        <w:pStyle w:val="FootnoteText"/>
        <w:rPr>
          <w:rFonts w:ascii="Arial" w:hAnsi="Arial" w:cs="Arial"/>
          <w:sz w:val="22"/>
          <w:szCs w:val="22"/>
        </w:rPr>
      </w:pPr>
      <w:r w:rsidRPr="00B11FDD">
        <w:rPr>
          <w:rStyle w:val="FootnoteReference"/>
          <w:rFonts w:ascii="Arial" w:hAnsi="Arial" w:cs="Arial"/>
          <w:sz w:val="22"/>
          <w:szCs w:val="22"/>
        </w:rPr>
        <w:footnoteRef/>
      </w:r>
      <w:r w:rsidRPr="00B11FDD">
        <w:rPr>
          <w:rFonts w:ascii="Arial" w:hAnsi="Arial" w:cs="Arial"/>
          <w:sz w:val="22"/>
          <w:szCs w:val="22"/>
        </w:rPr>
        <w:t xml:space="preserve"> </w:t>
      </w:r>
      <w:r w:rsidRPr="00B11FDD">
        <w:rPr>
          <w:rFonts w:ascii="Arial" w:eastAsia="Times New Roman" w:hAnsi="Arial" w:cs="Arial"/>
          <w:sz w:val="22"/>
          <w:szCs w:val="22"/>
          <w:lang w:val="en-GB" w:eastAsia="en-GB"/>
        </w:rPr>
        <w:t>As at the date on which the wage agreement was concluded, AMCU represented 16% of Harmony’s workers, 29.4% of AngloGold Ashanti’s employees and 29.27% of Sibanye’s employees.</w:t>
      </w:r>
    </w:p>
  </w:footnote>
  <w:footnote w:id="4">
    <w:p w:rsidR="008F0A98" w:rsidRPr="00B11FDD" w:rsidRDefault="008F0A98">
      <w:pPr>
        <w:pStyle w:val="FootnoteText"/>
        <w:rPr>
          <w:rFonts w:ascii="Arial" w:hAnsi="Arial" w:cs="Arial"/>
          <w:sz w:val="22"/>
          <w:szCs w:val="22"/>
        </w:rPr>
      </w:pPr>
      <w:r w:rsidRPr="00B11FDD">
        <w:rPr>
          <w:rStyle w:val="FootnoteReference"/>
          <w:rFonts w:ascii="Arial" w:hAnsi="Arial" w:cs="Arial"/>
          <w:sz w:val="22"/>
          <w:szCs w:val="22"/>
        </w:rPr>
        <w:footnoteRef/>
      </w:r>
      <w:r w:rsidRPr="00B11FDD">
        <w:rPr>
          <w:rFonts w:ascii="Arial" w:hAnsi="Arial" w:cs="Arial"/>
          <w:sz w:val="22"/>
          <w:szCs w:val="22"/>
        </w:rPr>
        <w:t xml:space="preserve"> </w:t>
      </w:r>
      <w:r w:rsidRPr="00B11FDD">
        <w:rPr>
          <w:rFonts w:ascii="Arial" w:eastAsia="Times New Roman" w:hAnsi="Arial" w:cs="Arial"/>
          <w:sz w:val="22"/>
          <w:szCs w:val="22"/>
          <w:lang w:val="en-GB" w:eastAsia="en-GB"/>
        </w:rPr>
        <w:t>At paragraph 42 of the judgment.</w:t>
      </w:r>
    </w:p>
  </w:footnote>
  <w:footnote w:id="5">
    <w:p w:rsidR="008F0A98" w:rsidRPr="00B11FDD" w:rsidRDefault="008F0A98">
      <w:pPr>
        <w:pStyle w:val="FootnoteText"/>
        <w:rPr>
          <w:rFonts w:ascii="Arial" w:hAnsi="Arial" w:cs="Arial"/>
          <w:sz w:val="22"/>
          <w:szCs w:val="22"/>
        </w:rPr>
      </w:pPr>
      <w:r w:rsidRPr="00B11FDD">
        <w:rPr>
          <w:rStyle w:val="FootnoteReference"/>
          <w:rFonts w:ascii="Arial" w:hAnsi="Arial" w:cs="Arial"/>
          <w:sz w:val="22"/>
          <w:szCs w:val="22"/>
        </w:rPr>
        <w:footnoteRef/>
      </w:r>
      <w:r w:rsidRPr="00B11FDD">
        <w:rPr>
          <w:rFonts w:ascii="Arial" w:hAnsi="Arial" w:cs="Arial"/>
          <w:sz w:val="22"/>
          <w:szCs w:val="22"/>
        </w:rPr>
        <w:t xml:space="preserve"> </w:t>
      </w:r>
      <w:r w:rsidRPr="00B11FDD">
        <w:rPr>
          <w:rFonts w:ascii="Arial" w:eastAsia="Times New Roman" w:hAnsi="Arial" w:cs="Arial"/>
          <w:sz w:val="22"/>
          <w:szCs w:val="22"/>
          <w:lang w:val="en-GB" w:eastAsia="en-GB"/>
        </w:rPr>
        <w:t xml:space="preserve">See </w:t>
      </w:r>
      <w:r w:rsidRPr="00B11FDD">
        <w:rPr>
          <w:rFonts w:ascii="Arial" w:eastAsia="Times New Roman" w:hAnsi="Arial" w:cs="Arial"/>
          <w:i/>
          <w:sz w:val="22"/>
          <w:szCs w:val="22"/>
          <w:lang w:val="en-GB" w:eastAsia="en-GB"/>
        </w:rPr>
        <w:t xml:space="preserve">Setlogelo v Setlogelo  </w:t>
      </w:r>
      <w:r w:rsidRPr="00B11FDD">
        <w:rPr>
          <w:rFonts w:ascii="Arial" w:eastAsia="Times New Roman" w:hAnsi="Arial" w:cs="Arial"/>
          <w:sz w:val="22"/>
          <w:szCs w:val="22"/>
          <w:lang w:val="en-GB" w:eastAsia="en-GB"/>
        </w:rPr>
        <w:t xml:space="preserve">1914 AD 221 at 227; </w:t>
      </w:r>
      <w:r w:rsidRPr="00B11FDD">
        <w:rPr>
          <w:rFonts w:ascii="Arial" w:eastAsia="Times New Roman" w:hAnsi="Arial" w:cs="Arial"/>
          <w:i/>
          <w:sz w:val="22"/>
          <w:szCs w:val="22"/>
          <w:lang w:val="en-GB" w:eastAsia="en-GB"/>
        </w:rPr>
        <w:t>NUMSA &amp; others v Comark Holdings (Pty) Ltd</w:t>
      </w:r>
      <w:r w:rsidRPr="00B11FDD">
        <w:rPr>
          <w:rFonts w:ascii="Arial" w:eastAsia="Times New Roman" w:hAnsi="Arial" w:cs="Arial"/>
          <w:sz w:val="22"/>
          <w:szCs w:val="22"/>
          <w:lang w:val="en-GB" w:eastAsia="en-GB"/>
        </w:rPr>
        <w:t xml:space="preserve"> (1997) 18 </w:t>
      </w:r>
      <w:r w:rsidRPr="00B11FDD">
        <w:rPr>
          <w:rFonts w:ascii="Arial" w:eastAsia="Times New Roman" w:hAnsi="Arial" w:cs="Arial"/>
          <w:i/>
          <w:sz w:val="22"/>
          <w:szCs w:val="22"/>
          <w:lang w:val="en-GB" w:eastAsia="en-GB"/>
        </w:rPr>
        <w:t>ILJ</w:t>
      </w:r>
      <w:r w:rsidRPr="00B11FDD">
        <w:rPr>
          <w:rFonts w:ascii="Arial" w:eastAsia="Times New Roman" w:hAnsi="Arial" w:cs="Arial"/>
          <w:sz w:val="22"/>
          <w:szCs w:val="22"/>
          <w:lang w:val="en-GB" w:eastAsia="en-GB"/>
        </w:rPr>
        <w:t xml:space="preserve"> 516 (LC).</w:t>
      </w:r>
    </w:p>
  </w:footnote>
  <w:footnote w:id="6">
    <w:p w:rsidR="008F0A98" w:rsidRPr="00B11FDD" w:rsidRDefault="008F0A98">
      <w:pPr>
        <w:pStyle w:val="FootnoteText"/>
        <w:rPr>
          <w:rFonts w:ascii="Arial" w:hAnsi="Arial" w:cs="Arial"/>
          <w:sz w:val="22"/>
          <w:szCs w:val="22"/>
        </w:rPr>
      </w:pPr>
      <w:r w:rsidRPr="00B11FDD">
        <w:rPr>
          <w:rStyle w:val="FootnoteReference"/>
          <w:rFonts w:ascii="Arial" w:hAnsi="Arial" w:cs="Arial"/>
          <w:sz w:val="22"/>
          <w:szCs w:val="22"/>
        </w:rPr>
        <w:footnoteRef/>
      </w:r>
      <w:r w:rsidRPr="00B11FDD">
        <w:rPr>
          <w:rFonts w:ascii="Arial" w:hAnsi="Arial" w:cs="Arial"/>
          <w:sz w:val="22"/>
          <w:szCs w:val="22"/>
        </w:rPr>
        <w:t xml:space="preserve"> The full title of the charter is the ‘Broad-based socio-economic empowerment charter for the South African mining and minerals industry.’ It is published in terms of s 100 (2) (a) of the MPRDA.</w:t>
      </w:r>
    </w:p>
  </w:footnote>
  <w:footnote w:id="7">
    <w:p w:rsidR="008F0A98" w:rsidRPr="00B11FDD" w:rsidRDefault="008F0A98">
      <w:pPr>
        <w:pStyle w:val="FootnoteText"/>
        <w:rPr>
          <w:rFonts w:ascii="Arial" w:hAnsi="Arial" w:cs="Arial"/>
          <w:sz w:val="22"/>
          <w:szCs w:val="22"/>
        </w:rPr>
      </w:pPr>
      <w:r w:rsidRPr="00B11FDD">
        <w:rPr>
          <w:rStyle w:val="FootnoteReference"/>
          <w:rFonts w:ascii="Arial" w:hAnsi="Arial" w:cs="Arial"/>
          <w:sz w:val="22"/>
          <w:szCs w:val="22"/>
        </w:rPr>
        <w:footnoteRef/>
      </w:r>
      <w:r w:rsidRPr="00B11FDD">
        <w:rPr>
          <w:rFonts w:ascii="Arial" w:hAnsi="Arial" w:cs="Arial"/>
          <w:sz w:val="22"/>
          <w:szCs w:val="22"/>
        </w:rPr>
        <w:t xml:space="preserve"> Social and labour plans must be submitted in term of regulation 42 of the regulations published in terms of the MPRDA.</w:t>
      </w:r>
    </w:p>
  </w:footnote>
  <w:footnote w:id="8">
    <w:p w:rsidR="008F0A98" w:rsidRPr="00B11FDD" w:rsidRDefault="008F0A98">
      <w:pPr>
        <w:pStyle w:val="FootnoteText"/>
        <w:rPr>
          <w:rFonts w:ascii="Arial" w:hAnsi="Arial" w:cs="Arial"/>
          <w:sz w:val="22"/>
          <w:szCs w:val="22"/>
        </w:rPr>
      </w:pPr>
      <w:r w:rsidRPr="00B11FDD">
        <w:rPr>
          <w:rStyle w:val="FootnoteReference"/>
          <w:rFonts w:ascii="Arial" w:hAnsi="Arial" w:cs="Arial"/>
          <w:sz w:val="22"/>
          <w:szCs w:val="22"/>
        </w:rPr>
        <w:footnoteRef/>
      </w:r>
      <w:r w:rsidRPr="00B11FDD">
        <w:rPr>
          <w:rFonts w:ascii="Arial" w:hAnsi="Arial" w:cs="Arial"/>
          <w:sz w:val="22"/>
          <w:szCs w:val="22"/>
        </w:rPr>
        <w:t xml:space="preserve"> See also </w:t>
      </w:r>
      <w:r w:rsidRPr="00B11FDD">
        <w:rPr>
          <w:rFonts w:ascii="Arial" w:hAnsi="Arial" w:cs="Arial"/>
          <w:i/>
          <w:sz w:val="22"/>
          <w:szCs w:val="22"/>
        </w:rPr>
        <w:t xml:space="preserve">Nature’s Choice Products (Pty) Ltd v Food and Allied Workers Union &amp; others </w:t>
      </w:r>
      <w:r w:rsidRPr="00B11FDD">
        <w:rPr>
          <w:rFonts w:ascii="Arial" w:hAnsi="Arial" w:cs="Arial"/>
          <w:sz w:val="22"/>
          <w:szCs w:val="22"/>
        </w:rPr>
        <w:t>(unreported, Labour Appeal Court, JA 12/12, 5 February 2014) at paragraph 22.</w:t>
      </w:r>
    </w:p>
  </w:footnote>
  <w:footnote w:id="9">
    <w:p w:rsidR="008F0A98" w:rsidRPr="00B11FDD" w:rsidRDefault="008F0A98">
      <w:pPr>
        <w:pStyle w:val="FootnoteText"/>
        <w:rPr>
          <w:rFonts w:ascii="Arial" w:hAnsi="Arial" w:cs="Arial"/>
          <w:sz w:val="22"/>
          <w:szCs w:val="22"/>
        </w:rPr>
      </w:pPr>
      <w:r w:rsidRPr="00B11FDD">
        <w:rPr>
          <w:rStyle w:val="FootnoteReference"/>
          <w:rFonts w:ascii="Arial" w:hAnsi="Arial" w:cs="Arial"/>
          <w:sz w:val="22"/>
          <w:szCs w:val="22"/>
        </w:rPr>
        <w:footnoteRef/>
      </w:r>
      <w:r w:rsidRPr="00B11FDD">
        <w:rPr>
          <w:rFonts w:ascii="Arial" w:hAnsi="Arial" w:cs="Arial"/>
          <w:sz w:val="22"/>
          <w:szCs w:val="22"/>
        </w:rPr>
        <w:t xml:space="preserve"> At paragraph 43 of the judgment.</w:t>
      </w:r>
    </w:p>
  </w:footnote>
  <w:footnote w:id="10">
    <w:p w:rsidR="008F0A98" w:rsidRPr="00B11FDD" w:rsidRDefault="008F0A98">
      <w:pPr>
        <w:pStyle w:val="FootnoteText"/>
        <w:rPr>
          <w:rFonts w:ascii="Arial" w:hAnsi="Arial" w:cs="Arial"/>
          <w:sz w:val="22"/>
          <w:szCs w:val="22"/>
        </w:rPr>
      </w:pPr>
      <w:r w:rsidRPr="00B11FDD">
        <w:rPr>
          <w:rStyle w:val="FootnoteReference"/>
          <w:rFonts w:ascii="Arial" w:hAnsi="Arial" w:cs="Arial"/>
          <w:sz w:val="22"/>
          <w:szCs w:val="22"/>
        </w:rPr>
        <w:footnoteRef/>
      </w:r>
      <w:r w:rsidRPr="00B11FDD">
        <w:rPr>
          <w:rFonts w:ascii="Arial" w:hAnsi="Arial" w:cs="Arial"/>
          <w:sz w:val="22"/>
          <w:szCs w:val="22"/>
        </w:rPr>
        <w:t xml:space="preserve"> At paragraph 13 of the judgment.</w:t>
      </w:r>
    </w:p>
  </w:footnote>
  <w:footnote w:id="11">
    <w:p w:rsidR="008F0A98" w:rsidRPr="00B11FDD" w:rsidRDefault="008F0A98" w:rsidP="00AE037B">
      <w:pPr>
        <w:pStyle w:val="ClaireNew"/>
        <w:numPr>
          <w:ilvl w:val="0"/>
          <w:numId w:val="0"/>
        </w:numPr>
        <w:spacing w:before="240" w:after="120"/>
        <w:ind w:left="720" w:hanging="720"/>
        <w:rPr>
          <w:rFonts w:ascii="Arial" w:hAnsi="Arial"/>
          <w:sz w:val="22"/>
          <w:szCs w:val="22"/>
        </w:rPr>
      </w:pPr>
      <w:r w:rsidRPr="00B11FDD">
        <w:rPr>
          <w:rStyle w:val="FootnoteReference"/>
          <w:rFonts w:ascii="Arial" w:hAnsi="Arial"/>
          <w:sz w:val="22"/>
          <w:szCs w:val="22"/>
        </w:rPr>
        <w:footnoteRef/>
      </w:r>
      <w:r w:rsidRPr="00B11FDD">
        <w:rPr>
          <w:rFonts w:ascii="Arial" w:hAnsi="Arial"/>
          <w:sz w:val="22"/>
          <w:szCs w:val="22"/>
        </w:rPr>
        <w:t xml:space="preserve"> </w:t>
      </w:r>
      <w:r w:rsidRPr="00B11FDD">
        <w:rPr>
          <w:rFonts w:ascii="Arial" w:hAnsi="Arial"/>
          <w:i/>
          <w:sz w:val="22"/>
          <w:szCs w:val="22"/>
        </w:rPr>
        <w:t>Canca v Mount Frere Municipality</w:t>
      </w:r>
      <w:r w:rsidRPr="00B11FDD">
        <w:rPr>
          <w:rFonts w:ascii="Arial" w:hAnsi="Arial"/>
          <w:sz w:val="22"/>
          <w:szCs w:val="22"/>
        </w:rPr>
        <w:t xml:space="preserve"> 1984 (2) SA 830 (TkSC).</w:t>
      </w:r>
    </w:p>
    <w:p w:rsidR="008F0A98" w:rsidRPr="00B11FDD" w:rsidRDefault="008F0A98">
      <w:pPr>
        <w:pStyle w:val="FootnoteText"/>
        <w:rPr>
          <w:rFonts w:ascii="Arial" w:hAnsi="Arial" w:cs="Arial"/>
          <w:sz w:val="22"/>
          <w:szCs w:val="22"/>
        </w:rPr>
      </w:pPr>
    </w:p>
  </w:footnote>
  <w:footnote w:id="12">
    <w:p w:rsidR="008F0A98" w:rsidRPr="00B11FDD" w:rsidRDefault="008F0A98" w:rsidP="000F6BDC">
      <w:pPr>
        <w:pStyle w:val="FootnoteText"/>
        <w:rPr>
          <w:rFonts w:ascii="Arial" w:hAnsi="Arial" w:cs="Arial"/>
          <w:sz w:val="22"/>
          <w:szCs w:val="22"/>
        </w:rPr>
      </w:pPr>
      <w:r w:rsidRPr="00B11FDD">
        <w:rPr>
          <w:rStyle w:val="FootnoteReference"/>
          <w:rFonts w:ascii="Arial" w:hAnsi="Arial" w:cs="Arial"/>
          <w:sz w:val="22"/>
          <w:szCs w:val="22"/>
        </w:rPr>
        <w:footnoteRef/>
      </w:r>
      <w:r w:rsidRPr="00B11FDD">
        <w:rPr>
          <w:rFonts w:ascii="Arial" w:hAnsi="Arial" w:cs="Arial"/>
          <w:sz w:val="22"/>
          <w:szCs w:val="22"/>
        </w:rPr>
        <w:t xml:space="preserve"> Brassey </w:t>
      </w:r>
      <w:r w:rsidRPr="00B11FDD">
        <w:rPr>
          <w:rFonts w:ascii="Arial" w:hAnsi="Arial" w:cs="Arial"/>
          <w:i/>
          <w:sz w:val="22"/>
          <w:szCs w:val="22"/>
        </w:rPr>
        <w:t xml:space="preserve">Commentary on the Labour Relations Act </w:t>
      </w:r>
      <w:r w:rsidRPr="00B11FDD">
        <w:rPr>
          <w:rFonts w:ascii="Arial" w:hAnsi="Arial" w:cs="Arial"/>
          <w:sz w:val="22"/>
          <w:szCs w:val="22"/>
        </w:rPr>
        <w:t>at A9-35 to A9-36).</w:t>
      </w:r>
    </w:p>
  </w:footnote>
  <w:footnote w:id="13">
    <w:p w:rsidR="008F0A98" w:rsidRPr="00B11FDD" w:rsidRDefault="008F0A98" w:rsidP="000F6BDC">
      <w:pPr>
        <w:pStyle w:val="FootnoteText"/>
        <w:rPr>
          <w:rFonts w:ascii="Arial" w:hAnsi="Arial" w:cs="Arial"/>
          <w:sz w:val="22"/>
          <w:szCs w:val="22"/>
        </w:rPr>
      </w:pPr>
      <w:r w:rsidRPr="00B11FDD">
        <w:rPr>
          <w:rStyle w:val="FootnoteReference"/>
          <w:rFonts w:ascii="Arial" w:hAnsi="Arial" w:cs="Arial"/>
          <w:sz w:val="22"/>
          <w:szCs w:val="22"/>
        </w:rPr>
        <w:footnoteRef/>
      </w:r>
      <w:r w:rsidRPr="00B11FDD">
        <w:rPr>
          <w:rFonts w:ascii="Arial" w:hAnsi="Arial" w:cs="Arial"/>
          <w:sz w:val="22"/>
          <w:szCs w:val="22"/>
        </w:rPr>
        <w:t xml:space="preserve"> Thompson in Cheadle, et al </w:t>
      </w:r>
      <w:r w:rsidRPr="00B11FDD">
        <w:rPr>
          <w:rFonts w:ascii="Arial" w:hAnsi="Arial" w:cs="Arial"/>
          <w:i/>
          <w:sz w:val="22"/>
          <w:szCs w:val="22"/>
        </w:rPr>
        <w:t>Current Labour Law 1997</w:t>
      </w:r>
      <w:r w:rsidRPr="00B11FDD">
        <w:rPr>
          <w:rFonts w:ascii="Arial" w:hAnsi="Arial" w:cs="Arial"/>
          <w:sz w:val="22"/>
          <w:szCs w:val="22"/>
        </w:rPr>
        <w:t xml:space="preserve"> at p 3.</w:t>
      </w:r>
    </w:p>
  </w:footnote>
  <w:footnote w:id="14">
    <w:p w:rsidR="008F0A98" w:rsidRPr="00B11FDD" w:rsidRDefault="008F0A98">
      <w:pPr>
        <w:pStyle w:val="FootnoteText"/>
        <w:rPr>
          <w:rFonts w:ascii="Arial" w:hAnsi="Arial" w:cs="Arial"/>
          <w:sz w:val="22"/>
          <w:szCs w:val="22"/>
        </w:rPr>
      </w:pPr>
      <w:r w:rsidRPr="00B11FDD">
        <w:rPr>
          <w:rStyle w:val="FootnoteReference"/>
          <w:rFonts w:ascii="Arial" w:hAnsi="Arial" w:cs="Arial"/>
          <w:sz w:val="22"/>
          <w:szCs w:val="22"/>
        </w:rPr>
        <w:footnoteRef/>
      </w:r>
      <w:r w:rsidRPr="00B11FDD">
        <w:rPr>
          <w:rFonts w:ascii="Arial" w:hAnsi="Arial" w:cs="Arial"/>
          <w:sz w:val="22"/>
          <w:szCs w:val="22"/>
        </w:rPr>
        <w:t xml:space="preserve"> Prayer 3 in the notice of motion contemplates a declaratory order to the effect that the interpretation placed by Cele J on s 23 (1) (d) was unconstitutional. Of course, only a ‘law’ or conduct’ can be declared unconstitutional – see s 172 (1) (a) of the Constitution. To the extent that AMCU’s real complaint was its disagreement with an interpretation of the LRA by this court, that disagreement cannot be elevated to one of constitutional principle. </w:t>
      </w:r>
    </w:p>
  </w:footnote>
  <w:footnote w:id="15">
    <w:p w:rsidR="008F0A98" w:rsidRPr="00B11FDD" w:rsidRDefault="008F0A98">
      <w:pPr>
        <w:pStyle w:val="FootnoteText"/>
        <w:rPr>
          <w:rFonts w:ascii="Arial" w:hAnsi="Arial" w:cs="Arial"/>
          <w:sz w:val="22"/>
          <w:szCs w:val="22"/>
        </w:rPr>
      </w:pPr>
      <w:r w:rsidRPr="00B11FDD">
        <w:rPr>
          <w:rStyle w:val="FootnoteReference"/>
          <w:rFonts w:ascii="Arial" w:hAnsi="Arial" w:cs="Arial"/>
          <w:sz w:val="22"/>
          <w:szCs w:val="22"/>
        </w:rPr>
        <w:footnoteRef/>
      </w:r>
      <w:r w:rsidRPr="00B11FDD">
        <w:rPr>
          <w:rFonts w:ascii="Arial" w:hAnsi="Arial" w:cs="Arial"/>
          <w:sz w:val="22"/>
          <w:szCs w:val="22"/>
        </w:rPr>
        <w:t xml:space="preserve"> 2006 (1) SA 505 (CC) at paragraph 43.</w:t>
      </w:r>
    </w:p>
  </w:footnote>
  <w:footnote w:id="16">
    <w:p w:rsidR="008F0A98" w:rsidRPr="00B11FDD" w:rsidRDefault="008F0A98">
      <w:pPr>
        <w:pStyle w:val="FootnoteText"/>
        <w:rPr>
          <w:rFonts w:ascii="Arial" w:hAnsi="Arial" w:cs="Arial"/>
          <w:sz w:val="22"/>
          <w:szCs w:val="22"/>
        </w:rPr>
      </w:pPr>
      <w:r w:rsidRPr="00B11FDD">
        <w:rPr>
          <w:rStyle w:val="FootnoteReference"/>
          <w:rFonts w:ascii="Arial" w:hAnsi="Arial" w:cs="Arial"/>
          <w:sz w:val="22"/>
          <w:szCs w:val="22"/>
        </w:rPr>
        <w:footnoteRef/>
      </w:r>
      <w:r w:rsidRPr="00B11FDD">
        <w:rPr>
          <w:rFonts w:ascii="Arial" w:hAnsi="Arial" w:cs="Arial"/>
          <w:sz w:val="22"/>
          <w:szCs w:val="22"/>
        </w:rPr>
        <w:t xml:space="preserve"> 2013 (1) SA 83 </w:t>
      </w:r>
      <w:r>
        <w:rPr>
          <w:rFonts w:ascii="Arial" w:hAnsi="Arial" w:cs="Arial"/>
          <w:sz w:val="22"/>
          <w:szCs w:val="22"/>
        </w:rPr>
        <w:t>(CC)</w:t>
      </w:r>
      <w:r w:rsidRPr="00B11FDD">
        <w:rPr>
          <w:rFonts w:ascii="Arial" w:hAnsi="Arial" w:cs="Arial"/>
          <w:sz w:val="22"/>
          <w:szCs w:val="22"/>
        </w:rPr>
        <w:t>.</w:t>
      </w:r>
    </w:p>
  </w:footnote>
  <w:footnote w:id="17">
    <w:p w:rsidR="008F0A98" w:rsidRPr="008F0A98" w:rsidRDefault="008F0A98">
      <w:pPr>
        <w:pStyle w:val="FootnoteText"/>
        <w:rPr>
          <w:rFonts w:ascii="Arial" w:hAnsi="Arial" w:cs="Arial"/>
          <w:sz w:val="22"/>
          <w:szCs w:val="22"/>
        </w:rPr>
      </w:pPr>
      <w:r w:rsidRPr="008F0A98">
        <w:rPr>
          <w:rStyle w:val="FootnoteReference"/>
          <w:rFonts w:ascii="Arial" w:hAnsi="Arial" w:cs="Arial"/>
          <w:sz w:val="22"/>
          <w:szCs w:val="22"/>
        </w:rPr>
        <w:footnoteRef/>
      </w:r>
      <w:r w:rsidRPr="008F0A98">
        <w:rPr>
          <w:rFonts w:ascii="Arial" w:hAnsi="Arial" w:cs="Arial"/>
          <w:sz w:val="22"/>
          <w:szCs w:val="22"/>
        </w:rPr>
        <w:t xml:space="preserve"> At paragraphs 113 and 114, footnotes omitted.</w:t>
      </w:r>
    </w:p>
  </w:footnote>
  <w:footnote w:id="18">
    <w:p w:rsidR="008F0A98" w:rsidRPr="00B11FDD" w:rsidRDefault="008F0A98">
      <w:pPr>
        <w:pStyle w:val="FootnoteText"/>
        <w:rPr>
          <w:rFonts w:ascii="Arial" w:hAnsi="Arial" w:cs="Arial"/>
          <w:sz w:val="22"/>
          <w:szCs w:val="22"/>
        </w:rPr>
      </w:pPr>
      <w:r w:rsidRPr="00B11FDD">
        <w:rPr>
          <w:rStyle w:val="FootnoteReference"/>
          <w:rFonts w:ascii="Arial" w:hAnsi="Arial" w:cs="Arial"/>
          <w:sz w:val="22"/>
          <w:szCs w:val="22"/>
        </w:rPr>
        <w:footnoteRef/>
      </w:r>
      <w:r w:rsidRPr="00B11FDD">
        <w:rPr>
          <w:rFonts w:ascii="Arial" w:hAnsi="Arial" w:cs="Arial"/>
          <w:sz w:val="22"/>
          <w:szCs w:val="22"/>
        </w:rPr>
        <w:t xml:space="preserve"> In any event, notwithstanding AMCU but having made out a case for the striking down of s 65 (1) (a) and the definition of ‘workplace’ as unconstitutional, it would amount to an impermissible collateral attack for it to do so simply on the basis of its ‘read with’ contention. See  </w:t>
      </w:r>
    </w:p>
  </w:footnote>
  <w:footnote w:id="19">
    <w:p w:rsidR="008F0A98" w:rsidRPr="00B11FDD" w:rsidRDefault="008F0A98">
      <w:pPr>
        <w:pStyle w:val="FootnoteText"/>
        <w:rPr>
          <w:rFonts w:ascii="Arial" w:hAnsi="Arial" w:cs="Arial"/>
          <w:sz w:val="22"/>
          <w:szCs w:val="22"/>
        </w:rPr>
      </w:pPr>
      <w:r w:rsidRPr="00B11FDD">
        <w:rPr>
          <w:rStyle w:val="FootnoteReference"/>
          <w:rFonts w:ascii="Arial" w:hAnsi="Arial" w:cs="Arial"/>
          <w:sz w:val="22"/>
          <w:szCs w:val="22"/>
        </w:rPr>
        <w:footnoteRef/>
      </w:r>
      <w:r w:rsidRPr="00B11FDD">
        <w:rPr>
          <w:rFonts w:ascii="Arial" w:hAnsi="Arial" w:cs="Arial"/>
          <w:sz w:val="22"/>
          <w:szCs w:val="22"/>
        </w:rPr>
        <w:t xml:space="preserve"> </w:t>
      </w:r>
      <w:r w:rsidRPr="00B11FDD">
        <w:rPr>
          <w:rFonts w:ascii="Arial" w:hAnsi="Arial" w:cs="Arial"/>
          <w:i/>
          <w:sz w:val="22"/>
          <w:szCs w:val="22"/>
        </w:rPr>
        <w:t>South African Transport and Allied Workers Union v Moloto</w:t>
      </w:r>
      <w:r w:rsidRPr="00B11FDD">
        <w:rPr>
          <w:rFonts w:ascii="Arial" w:hAnsi="Arial" w:cs="Arial"/>
          <w:sz w:val="22"/>
          <w:szCs w:val="22"/>
        </w:rPr>
        <w:t xml:space="preserve"> [2012] 12 BLLR 1193 (CC).</w:t>
      </w:r>
    </w:p>
  </w:footnote>
  <w:footnote w:id="20">
    <w:p w:rsidR="008F0A98" w:rsidRPr="00B11FDD" w:rsidRDefault="008F0A98">
      <w:pPr>
        <w:pStyle w:val="FootnoteText"/>
        <w:rPr>
          <w:rFonts w:ascii="Arial" w:hAnsi="Arial" w:cs="Arial"/>
          <w:sz w:val="22"/>
          <w:szCs w:val="22"/>
        </w:rPr>
      </w:pPr>
      <w:r w:rsidRPr="00B11FDD">
        <w:rPr>
          <w:rStyle w:val="FootnoteReference"/>
          <w:rFonts w:ascii="Arial" w:hAnsi="Arial" w:cs="Arial"/>
          <w:sz w:val="22"/>
          <w:szCs w:val="22"/>
        </w:rPr>
        <w:footnoteRef/>
      </w:r>
      <w:r w:rsidRPr="00B11FDD">
        <w:rPr>
          <w:rFonts w:ascii="Arial" w:hAnsi="Arial" w:cs="Arial"/>
          <w:sz w:val="22"/>
          <w:szCs w:val="22"/>
        </w:rPr>
        <w:t xml:space="preserve"> (1996) 17 </w:t>
      </w:r>
      <w:r w:rsidRPr="00B11FDD">
        <w:rPr>
          <w:rFonts w:ascii="Arial" w:hAnsi="Arial" w:cs="Arial"/>
          <w:i/>
          <w:sz w:val="22"/>
          <w:szCs w:val="22"/>
        </w:rPr>
        <w:t xml:space="preserve">ILJ </w:t>
      </w:r>
      <w:r w:rsidRPr="00B11FDD">
        <w:rPr>
          <w:rFonts w:ascii="Arial" w:hAnsi="Arial" w:cs="Arial"/>
          <w:sz w:val="22"/>
          <w:szCs w:val="22"/>
        </w:rPr>
        <w:t>821 (CC) at paragraph 66</w:t>
      </w:r>
    </w:p>
  </w:footnote>
  <w:footnote w:id="21">
    <w:p w:rsidR="008F0A98" w:rsidRPr="00B11FDD" w:rsidRDefault="008F0A98">
      <w:pPr>
        <w:pStyle w:val="FootnoteText"/>
        <w:rPr>
          <w:rFonts w:ascii="Arial" w:hAnsi="Arial" w:cs="Arial"/>
          <w:sz w:val="22"/>
          <w:szCs w:val="22"/>
        </w:rPr>
      </w:pPr>
      <w:r w:rsidRPr="00B11FDD">
        <w:rPr>
          <w:rStyle w:val="FootnoteReference"/>
          <w:rFonts w:ascii="Arial" w:hAnsi="Arial" w:cs="Arial"/>
          <w:sz w:val="22"/>
          <w:szCs w:val="22"/>
        </w:rPr>
        <w:footnoteRef/>
      </w:r>
      <w:r w:rsidRPr="00B11FDD">
        <w:rPr>
          <w:rFonts w:ascii="Arial" w:hAnsi="Arial" w:cs="Arial"/>
          <w:sz w:val="22"/>
          <w:szCs w:val="22"/>
        </w:rPr>
        <w:t xml:space="preserve"> [2003] 2 BLLR 103 (CC) at paragraph 13.</w:t>
      </w:r>
    </w:p>
  </w:footnote>
  <w:footnote w:id="22">
    <w:p w:rsidR="008F0A98" w:rsidRPr="00B11FDD" w:rsidRDefault="008F0A98">
      <w:pPr>
        <w:pStyle w:val="FootnoteText"/>
        <w:rPr>
          <w:rFonts w:ascii="Arial" w:hAnsi="Arial" w:cs="Arial"/>
          <w:sz w:val="22"/>
          <w:szCs w:val="22"/>
        </w:rPr>
      </w:pPr>
      <w:r w:rsidRPr="00B11FDD">
        <w:rPr>
          <w:rStyle w:val="FootnoteReference"/>
          <w:rFonts w:ascii="Arial" w:hAnsi="Arial" w:cs="Arial"/>
          <w:sz w:val="22"/>
          <w:szCs w:val="22"/>
        </w:rPr>
        <w:footnoteRef/>
      </w:r>
      <w:r w:rsidRPr="00B11FDD">
        <w:rPr>
          <w:rFonts w:ascii="Arial" w:hAnsi="Arial" w:cs="Arial"/>
          <w:sz w:val="22"/>
          <w:szCs w:val="22"/>
        </w:rPr>
        <w:t xml:space="preserve"> At paragraph 37.</w:t>
      </w:r>
    </w:p>
  </w:footnote>
  <w:footnote w:id="23">
    <w:p w:rsidR="008F0A98" w:rsidRPr="00B11FDD" w:rsidRDefault="008F0A98" w:rsidP="002774F5">
      <w:pPr>
        <w:pStyle w:val="FootnoteText"/>
        <w:jc w:val="both"/>
        <w:rPr>
          <w:rFonts w:ascii="Arial" w:hAnsi="Arial" w:cs="Arial"/>
          <w:i/>
          <w:sz w:val="22"/>
          <w:szCs w:val="22"/>
        </w:rPr>
      </w:pPr>
      <w:r w:rsidRPr="00B11FDD">
        <w:rPr>
          <w:rStyle w:val="FootnoteReference"/>
          <w:rFonts w:ascii="Arial" w:hAnsi="Arial" w:cs="Arial"/>
          <w:sz w:val="22"/>
          <w:szCs w:val="22"/>
        </w:rPr>
        <w:footnoteRef/>
      </w:r>
      <w:r w:rsidRPr="00B11FDD">
        <w:rPr>
          <w:rFonts w:ascii="Arial" w:hAnsi="Arial" w:cs="Arial"/>
          <w:sz w:val="22"/>
          <w:szCs w:val="22"/>
        </w:rPr>
        <w:t xml:space="preserve"> 1996 (1) SA 388 (CC), at paragraph 18. See also </w:t>
      </w:r>
      <w:r w:rsidRPr="00B11FDD">
        <w:rPr>
          <w:rFonts w:ascii="Arial" w:hAnsi="Arial" w:cs="Arial"/>
          <w:i/>
          <w:sz w:val="22"/>
          <w:szCs w:val="22"/>
        </w:rPr>
        <w:t>S v Makwanyane</w:t>
      </w:r>
      <w:r w:rsidRPr="00B11FDD">
        <w:rPr>
          <w:rFonts w:ascii="Arial" w:hAnsi="Arial" w:cs="Arial"/>
          <w:sz w:val="22"/>
          <w:szCs w:val="22"/>
        </w:rPr>
        <w:t xml:space="preserve"> 1995 (3) SA 391 (CC) at paragraph 104 where the court stated ‘…</w:t>
      </w:r>
      <w:r w:rsidRPr="00B11FDD">
        <w:rPr>
          <w:rFonts w:ascii="Arial" w:hAnsi="Arial" w:cs="Arial"/>
          <w:i/>
          <w:sz w:val="22"/>
          <w:szCs w:val="22"/>
        </w:rPr>
        <w:t xml:space="preserve"> there is no absolute standard which can be laid down for determining reasonableness and necessity. Principles can be established, but the application of those principles to particular circumstances can only be done on a case-by-case basis. This is inherent in the requirement of proportionality, which calls for the balancing of different interests. In the balancing process, the relevant considerations will include the nature of the right to that is limited, and its importance to an open and democratic society based on freedom and equality; the purpose for which the right is limited and the importance of that purpose to such a society; the extent of the limitation, its efficacy, and particularly where the limitation as to be necessary, whether the desired ends could reasonably have been achieved through other means less damaging to the right in question.’</w:t>
      </w:r>
    </w:p>
  </w:footnote>
  <w:footnote w:id="24">
    <w:p w:rsidR="008F0A98" w:rsidRPr="00B11FDD" w:rsidRDefault="008F0A98">
      <w:pPr>
        <w:pStyle w:val="FootnoteText"/>
        <w:rPr>
          <w:rFonts w:ascii="Arial" w:hAnsi="Arial" w:cs="Arial"/>
          <w:sz w:val="22"/>
          <w:szCs w:val="22"/>
        </w:rPr>
      </w:pPr>
      <w:r w:rsidRPr="00B11FDD">
        <w:rPr>
          <w:rStyle w:val="FootnoteReference"/>
          <w:rFonts w:ascii="Arial" w:hAnsi="Arial" w:cs="Arial"/>
          <w:sz w:val="22"/>
          <w:szCs w:val="22"/>
        </w:rPr>
        <w:footnoteRef/>
      </w:r>
      <w:r w:rsidRPr="00B11FDD">
        <w:rPr>
          <w:rFonts w:ascii="Arial" w:hAnsi="Arial" w:cs="Arial"/>
          <w:sz w:val="22"/>
          <w:szCs w:val="22"/>
        </w:rPr>
        <w:t xml:space="preserve"> Fourie judgment</w:t>
      </w:r>
    </w:p>
  </w:footnote>
  <w:footnote w:id="25">
    <w:p w:rsidR="008F0A98" w:rsidRPr="008A2242" w:rsidRDefault="008F0A98" w:rsidP="00311DF5">
      <w:pPr>
        <w:spacing w:line="360" w:lineRule="auto"/>
        <w:jc w:val="both"/>
        <w:rPr>
          <w:rFonts w:ascii="Arial" w:hAnsi="Arial" w:cs="Arial"/>
        </w:rPr>
      </w:pPr>
      <w:r w:rsidRPr="008A2242">
        <w:rPr>
          <w:rStyle w:val="FootnoteReference"/>
          <w:rFonts w:ascii="Arial" w:hAnsi="Arial" w:cs="Arial"/>
        </w:rPr>
        <w:footnoteRef/>
      </w:r>
      <w:r w:rsidRPr="008A2242">
        <w:rPr>
          <w:rFonts w:ascii="Arial" w:hAnsi="Arial" w:cs="Arial"/>
        </w:rPr>
        <w:t xml:space="preserve"> </w:t>
      </w:r>
      <w:r w:rsidR="008A2242" w:rsidRPr="008A2242">
        <w:rPr>
          <w:rFonts w:ascii="Arial" w:hAnsi="Arial" w:cs="Arial"/>
        </w:rPr>
        <w:t>[2001] 1 BLLR 25 (LAC)</w:t>
      </w:r>
      <w:r w:rsidR="008A2242">
        <w:rPr>
          <w:rFonts w:ascii="Arial" w:hAnsi="Arial" w:cs="Arial"/>
        </w:rPr>
        <w:t>.</w:t>
      </w:r>
      <w:r w:rsidR="008A2242" w:rsidRPr="008A2242">
        <w:rPr>
          <w:rFonts w:ascii="Arial" w:hAnsi="Arial" w:cs="Arial"/>
        </w:rPr>
        <w:t xml:space="preserve"> </w:t>
      </w:r>
      <w:r w:rsidR="008A2242">
        <w:rPr>
          <w:rFonts w:ascii="Arial" w:hAnsi="Arial" w:cs="Arial"/>
        </w:rPr>
        <w:t>a</w:t>
      </w:r>
      <w:r w:rsidRPr="008A2242">
        <w:rPr>
          <w:rFonts w:ascii="Arial" w:hAnsi="Arial" w:cs="Arial"/>
        </w:rPr>
        <w:t>t paragraph 19</w:t>
      </w:r>
    </w:p>
  </w:footnote>
  <w:footnote w:id="26">
    <w:p w:rsidR="008F0A98" w:rsidRPr="00B11FDD" w:rsidRDefault="008F0A98">
      <w:pPr>
        <w:pStyle w:val="FootnoteText"/>
        <w:rPr>
          <w:rFonts w:ascii="Arial" w:hAnsi="Arial" w:cs="Arial"/>
          <w:sz w:val="22"/>
          <w:szCs w:val="22"/>
        </w:rPr>
      </w:pPr>
      <w:r w:rsidRPr="00B11FDD">
        <w:rPr>
          <w:rStyle w:val="FootnoteReference"/>
          <w:rFonts w:ascii="Arial" w:hAnsi="Arial" w:cs="Arial"/>
          <w:sz w:val="22"/>
          <w:szCs w:val="22"/>
        </w:rPr>
        <w:footnoteRef/>
      </w:r>
      <w:r w:rsidRPr="00B11FDD">
        <w:rPr>
          <w:rFonts w:ascii="Arial" w:hAnsi="Arial" w:cs="Arial"/>
          <w:sz w:val="22"/>
          <w:szCs w:val="22"/>
        </w:rPr>
        <w:t xml:space="preserve"> References are to the 5</w:t>
      </w:r>
      <w:r w:rsidRPr="00B11FDD">
        <w:rPr>
          <w:rFonts w:ascii="Arial" w:hAnsi="Arial" w:cs="Arial"/>
          <w:sz w:val="22"/>
          <w:szCs w:val="22"/>
          <w:vertAlign w:val="superscript"/>
        </w:rPr>
        <w:t>th</w:t>
      </w:r>
      <w:r w:rsidRPr="00B11FDD">
        <w:rPr>
          <w:rFonts w:ascii="Arial" w:hAnsi="Arial" w:cs="Arial"/>
          <w:sz w:val="22"/>
          <w:szCs w:val="22"/>
        </w:rPr>
        <w:t xml:space="preserve"> (revised) edition of the Digest.</w:t>
      </w:r>
    </w:p>
  </w:footnote>
  <w:footnote w:id="27">
    <w:p w:rsidR="008F0A98" w:rsidRPr="00B11FDD" w:rsidRDefault="008F0A98">
      <w:pPr>
        <w:pStyle w:val="FootnoteText"/>
        <w:rPr>
          <w:rFonts w:ascii="Arial" w:hAnsi="Arial" w:cs="Arial"/>
          <w:sz w:val="22"/>
          <w:szCs w:val="22"/>
        </w:rPr>
      </w:pPr>
      <w:r w:rsidRPr="00B11FDD">
        <w:rPr>
          <w:rStyle w:val="FootnoteReference"/>
          <w:rFonts w:ascii="Arial" w:hAnsi="Arial" w:cs="Arial"/>
          <w:sz w:val="22"/>
          <w:szCs w:val="22"/>
        </w:rPr>
        <w:footnoteRef/>
      </w:r>
      <w:r w:rsidRPr="00B11FDD">
        <w:rPr>
          <w:rFonts w:ascii="Arial" w:hAnsi="Arial" w:cs="Arial"/>
          <w:sz w:val="22"/>
          <w:szCs w:val="22"/>
        </w:rPr>
        <w:t xml:space="preserve"> See </w:t>
      </w:r>
      <w:r w:rsidR="008A2242">
        <w:rPr>
          <w:rFonts w:ascii="Arial" w:hAnsi="Arial" w:cs="Arial"/>
          <w:sz w:val="22"/>
          <w:szCs w:val="22"/>
        </w:rPr>
        <w:t xml:space="preserve">S </w:t>
      </w:r>
      <w:r w:rsidRPr="00B11FDD">
        <w:rPr>
          <w:rFonts w:ascii="Arial" w:hAnsi="Arial" w:cs="Arial"/>
          <w:sz w:val="22"/>
          <w:szCs w:val="22"/>
        </w:rPr>
        <w:t xml:space="preserve">Hayter ed., </w:t>
      </w:r>
      <w:r w:rsidRPr="00B11FDD">
        <w:rPr>
          <w:rFonts w:ascii="Arial" w:hAnsi="Arial" w:cs="Arial"/>
          <w:i/>
          <w:sz w:val="22"/>
          <w:szCs w:val="22"/>
        </w:rPr>
        <w:t>The role of collective bargaining in the global economy</w:t>
      </w:r>
      <w:r w:rsidRPr="00B11FDD">
        <w:rPr>
          <w:rFonts w:ascii="Arial" w:hAnsi="Arial" w:cs="Arial"/>
          <w:sz w:val="22"/>
          <w:szCs w:val="22"/>
        </w:rPr>
        <w:t xml:space="preserve">, International Labour Office, Geneva, </w:t>
      </w:r>
      <w:r w:rsidR="008A2242">
        <w:rPr>
          <w:rFonts w:ascii="Arial" w:hAnsi="Arial" w:cs="Arial"/>
          <w:sz w:val="22"/>
          <w:szCs w:val="22"/>
        </w:rPr>
        <w:t>(</w:t>
      </w:r>
      <w:r w:rsidRPr="00B11FDD">
        <w:rPr>
          <w:rFonts w:ascii="Arial" w:hAnsi="Arial" w:cs="Arial"/>
          <w:sz w:val="22"/>
          <w:szCs w:val="22"/>
        </w:rPr>
        <w:t>2011</w:t>
      </w:r>
      <w:r w:rsidR="008A2242">
        <w:rPr>
          <w:rFonts w:ascii="Arial" w:hAnsi="Arial" w:cs="Arial"/>
          <w:sz w:val="22"/>
          <w:szCs w:val="22"/>
        </w:rPr>
        <w:t>)</w:t>
      </w:r>
      <w:r w:rsidRPr="00B11FDD">
        <w:rPr>
          <w:rFonts w:ascii="Arial" w:hAnsi="Arial" w:cs="Arial"/>
          <w:sz w:val="22"/>
          <w:szCs w:val="22"/>
        </w:rPr>
        <w:t xml:space="preserve"> at 148.</w:t>
      </w:r>
    </w:p>
  </w:footnote>
  <w:footnote w:id="28">
    <w:p w:rsidR="008F0A98" w:rsidRPr="00B11FDD" w:rsidRDefault="008F0A98" w:rsidP="00BB23B4">
      <w:pPr>
        <w:pStyle w:val="FootnoteText"/>
        <w:rPr>
          <w:rFonts w:ascii="Arial" w:hAnsi="Arial" w:cs="Arial"/>
          <w:sz w:val="22"/>
          <w:szCs w:val="22"/>
        </w:rPr>
      </w:pPr>
      <w:r w:rsidRPr="00B11FDD">
        <w:rPr>
          <w:rStyle w:val="FootnoteReference"/>
          <w:rFonts w:ascii="Arial" w:hAnsi="Arial" w:cs="Arial"/>
          <w:sz w:val="22"/>
          <w:szCs w:val="22"/>
        </w:rPr>
        <w:footnoteRef/>
      </w:r>
      <w:r w:rsidRPr="00B11FDD">
        <w:rPr>
          <w:rFonts w:ascii="Arial" w:hAnsi="Arial" w:cs="Arial"/>
          <w:sz w:val="22"/>
          <w:szCs w:val="22"/>
        </w:rPr>
        <w:t xml:space="preserve"> Clive Thompson </w:t>
      </w:r>
      <w:r w:rsidRPr="00B11FDD">
        <w:rPr>
          <w:rFonts w:ascii="Arial" w:hAnsi="Arial" w:cs="Arial"/>
          <w:i/>
          <w:sz w:val="22"/>
          <w:szCs w:val="22"/>
        </w:rPr>
        <w:t xml:space="preserve">‘A Bargaining hydra emerges from the unfair labour practice swamp </w:t>
      </w:r>
      <w:r w:rsidRPr="00B11FDD">
        <w:rPr>
          <w:rFonts w:ascii="Arial" w:hAnsi="Arial" w:cs="Arial"/>
          <w:sz w:val="22"/>
          <w:szCs w:val="22"/>
        </w:rPr>
        <w:t xml:space="preserve">(1989) 10 </w:t>
      </w:r>
      <w:r w:rsidRPr="00B11FDD">
        <w:rPr>
          <w:rFonts w:ascii="Arial" w:hAnsi="Arial" w:cs="Arial"/>
          <w:i/>
          <w:sz w:val="22"/>
          <w:szCs w:val="22"/>
        </w:rPr>
        <w:t>ILJ</w:t>
      </w:r>
      <w:r w:rsidRPr="00B11FDD">
        <w:rPr>
          <w:rFonts w:ascii="Arial" w:hAnsi="Arial" w:cs="Arial"/>
          <w:sz w:val="22"/>
          <w:szCs w:val="22"/>
        </w:rPr>
        <w:t xml:space="preserve"> 808, at 811. See also Brenda Grant </w:t>
      </w:r>
      <w:r w:rsidRPr="00B11FDD">
        <w:rPr>
          <w:rFonts w:ascii="Arial" w:hAnsi="Arial" w:cs="Arial"/>
          <w:i/>
          <w:sz w:val="22"/>
          <w:szCs w:val="22"/>
        </w:rPr>
        <w:t>‘In defence of Majoritariansim: Part 2 – Majoritarianism and Freedom of Association</w:t>
      </w:r>
      <w:r w:rsidRPr="00B11FDD">
        <w:rPr>
          <w:rFonts w:ascii="Arial" w:hAnsi="Arial" w:cs="Arial"/>
          <w:sz w:val="22"/>
          <w:szCs w:val="22"/>
        </w:rPr>
        <w:t xml:space="preserve">’ (1993) 14 </w:t>
      </w:r>
      <w:r w:rsidRPr="00B11FDD">
        <w:rPr>
          <w:rFonts w:ascii="Arial" w:hAnsi="Arial" w:cs="Arial"/>
          <w:i/>
          <w:sz w:val="22"/>
          <w:szCs w:val="22"/>
        </w:rPr>
        <w:t>ILJ</w:t>
      </w:r>
      <w:r w:rsidRPr="00B11FDD">
        <w:rPr>
          <w:rFonts w:ascii="Arial" w:hAnsi="Arial" w:cs="Arial"/>
          <w:sz w:val="22"/>
          <w:szCs w:val="22"/>
        </w:rPr>
        <w:t xml:space="preserve"> 1145.</w:t>
      </w:r>
    </w:p>
  </w:footnote>
  <w:footnote w:id="29">
    <w:p w:rsidR="008F0A98" w:rsidRPr="00B11FDD" w:rsidRDefault="008F0A98">
      <w:pPr>
        <w:pStyle w:val="FootnoteText"/>
        <w:rPr>
          <w:rFonts w:ascii="Arial" w:hAnsi="Arial" w:cs="Arial"/>
          <w:sz w:val="22"/>
          <w:szCs w:val="22"/>
        </w:rPr>
      </w:pPr>
      <w:r w:rsidRPr="00B11FDD">
        <w:rPr>
          <w:rStyle w:val="FootnoteReference"/>
          <w:rFonts w:ascii="Arial" w:hAnsi="Arial" w:cs="Arial"/>
          <w:sz w:val="22"/>
          <w:szCs w:val="22"/>
        </w:rPr>
        <w:footnoteRef/>
      </w:r>
      <w:r w:rsidRPr="00B11FDD">
        <w:rPr>
          <w:rFonts w:ascii="Arial" w:hAnsi="Arial" w:cs="Arial"/>
          <w:sz w:val="22"/>
          <w:szCs w:val="22"/>
        </w:rPr>
        <w:t xml:space="preserve"> Cheadle in Cheadle </w:t>
      </w:r>
      <w:r w:rsidRPr="00B11FDD">
        <w:rPr>
          <w:rFonts w:ascii="Arial" w:hAnsi="Arial" w:cs="Arial"/>
          <w:i/>
          <w:sz w:val="22"/>
          <w:szCs w:val="22"/>
        </w:rPr>
        <w:t>et al</w:t>
      </w:r>
      <w:r w:rsidRPr="00B11FDD">
        <w:rPr>
          <w:rFonts w:ascii="Arial" w:hAnsi="Arial" w:cs="Arial"/>
          <w:sz w:val="22"/>
          <w:szCs w:val="22"/>
        </w:rPr>
        <w:t xml:space="preserve"> </w:t>
      </w:r>
      <w:r w:rsidRPr="00B11FDD">
        <w:rPr>
          <w:rFonts w:ascii="Arial" w:hAnsi="Arial" w:cs="Arial"/>
          <w:i/>
          <w:sz w:val="22"/>
          <w:szCs w:val="22"/>
        </w:rPr>
        <w:t>South African Constitutional Law: The Bill of Rights (</w:t>
      </w:r>
      <w:r w:rsidRPr="00B11FDD">
        <w:rPr>
          <w:rFonts w:ascii="Arial" w:hAnsi="Arial" w:cs="Arial"/>
          <w:sz w:val="22"/>
          <w:szCs w:val="22"/>
        </w:rPr>
        <w:t>2ed) at 18-35 to 18-38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A98" w:rsidRDefault="00712CA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142735" o:spid="_x0000_s2050" type="#_x0000_t136" style="position:absolute;margin-left:0;margin-top:0;width:518.4pt;height:141.35pt;rotation:315;z-index:-251654144;mso-position-horizontal:center;mso-position-horizontal-relative:margin;mso-position-vertical:center;mso-position-vertical-relative:margin" o:allowincell="f" fillcolor="silver" stroked="f">
          <v:textpath style="font-family:&quot;Calibri&quot;;font-size:1pt" string="Labour Court "/>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A98" w:rsidRDefault="00712CA1">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142736" o:spid="_x0000_s2051" type="#_x0000_t136" style="position:absolute;left:0;text-align:left;margin-left:0;margin-top:0;width:518.4pt;height:141.35pt;rotation:315;z-index:-251652096;mso-position-horizontal:center;mso-position-horizontal-relative:margin;mso-position-vertical:center;mso-position-vertical-relative:margin" o:allowincell="f" fillcolor="silver" stroked="f">
          <v:textpath style="font-family:&quot;Calibri&quot;;font-size:1pt" string="Labour Court "/>
          <w10:wrap anchorx="margin" anchory="margin"/>
        </v:shape>
      </w:pict>
    </w:r>
    <w:sdt>
      <w:sdtPr>
        <w:id w:val="907190992"/>
        <w:docPartObj>
          <w:docPartGallery w:val="Page Numbers (Top of Page)"/>
          <w:docPartUnique/>
        </w:docPartObj>
      </w:sdtPr>
      <w:sdtEndPr>
        <w:rPr>
          <w:noProof/>
        </w:rPr>
      </w:sdtEndPr>
      <w:sdtContent>
        <w:r w:rsidR="008F0A98">
          <w:fldChar w:fldCharType="begin"/>
        </w:r>
        <w:r w:rsidR="008F0A98">
          <w:instrText xml:space="preserve"> PAGE   \* MERGEFORMAT </w:instrText>
        </w:r>
        <w:r w:rsidR="008F0A98">
          <w:fldChar w:fldCharType="separate"/>
        </w:r>
        <w:r>
          <w:rPr>
            <w:noProof/>
          </w:rPr>
          <w:t>1</w:t>
        </w:r>
        <w:r w:rsidR="008F0A98">
          <w:rPr>
            <w:noProof/>
          </w:rPr>
          <w:fldChar w:fldCharType="end"/>
        </w:r>
      </w:sdtContent>
    </w:sdt>
  </w:p>
  <w:p w:rsidR="008F0A98" w:rsidRDefault="008F0A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A98" w:rsidRDefault="00712CA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142734" o:spid="_x0000_s2049" type="#_x0000_t136" style="position:absolute;margin-left:0;margin-top:0;width:518.4pt;height:141.35pt;rotation:315;z-index:-251656192;mso-position-horizontal:center;mso-position-horizontal-relative:margin;mso-position-vertical:center;mso-position-vertical-relative:margin" o:allowincell="f" fillcolor="silver" stroked="f">
          <v:textpath style="font-family:&quot;Calibri&quot;;font-size:1pt" string="Labour Court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C713A"/>
    <w:multiLevelType w:val="hybridMultilevel"/>
    <w:tmpl w:val="13BC749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3500B4"/>
    <w:multiLevelType w:val="multilevel"/>
    <w:tmpl w:val="7EC031BA"/>
    <w:lvl w:ilvl="0">
      <w:start w:val="1"/>
      <w:numFmt w:val="decimal"/>
      <w:isLg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701"/>
        </w:tabs>
        <w:ind w:left="1701" w:hanging="1701"/>
      </w:pPr>
      <w:rPr>
        <w:rFonts w:hint="default"/>
      </w:rPr>
    </w:lvl>
    <w:lvl w:ilvl="3">
      <w:start w:val="1"/>
      <w:numFmt w:val="decimal"/>
      <w:lvlText w:val="%1.%2.%3.%4."/>
      <w:lvlJc w:val="left"/>
      <w:pPr>
        <w:tabs>
          <w:tab w:val="num" w:pos="2268"/>
        </w:tabs>
        <w:ind w:left="2268" w:hanging="2268"/>
      </w:pPr>
      <w:rPr>
        <w:rFonts w:hint="default"/>
      </w:rPr>
    </w:lvl>
    <w:lvl w:ilvl="4">
      <w:start w:val="1"/>
      <w:numFmt w:val="decimal"/>
      <w:lvlText w:val="%1.%2.%3.%4.%5."/>
      <w:lvlJc w:val="left"/>
      <w:pPr>
        <w:tabs>
          <w:tab w:val="num" w:pos="2835"/>
        </w:tabs>
        <w:ind w:left="2835" w:hanging="2835"/>
      </w:pPr>
      <w:rPr>
        <w:rFonts w:hint="default"/>
      </w:rPr>
    </w:lvl>
    <w:lvl w:ilvl="5">
      <w:start w:val="1"/>
      <w:numFmt w:val="decimal"/>
      <w:lvlText w:val="%1.%2.%3.%4.%5.%6."/>
      <w:lvlJc w:val="left"/>
      <w:pPr>
        <w:tabs>
          <w:tab w:val="num" w:pos="3402"/>
        </w:tabs>
        <w:ind w:left="3402" w:hanging="3402"/>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4536"/>
        </w:tabs>
        <w:ind w:left="4536" w:hanging="4536"/>
      </w:pPr>
      <w:rPr>
        <w:rFonts w:hint="default"/>
      </w:rPr>
    </w:lvl>
    <w:lvl w:ilvl="8">
      <w:start w:val="1"/>
      <w:numFmt w:val="decimal"/>
      <w:lvlText w:val="%1.%2.%3.%4.%5.%6.%7.%8.%9."/>
      <w:lvlJc w:val="left"/>
      <w:pPr>
        <w:tabs>
          <w:tab w:val="num" w:pos="5103"/>
        </w:tabs>
        <w:ind w:left="5103" w:hanging="5103"/>
      </w:pPr>
      <w:rPr>
        <w:rFonts w:hint="default"/>
      </w:rPr>
    </w:lvl>
  </w:abstractNum>
  <w:abstractNum w:abstractNumId="2">
    <w:nsid w:val="36441AFA"/>
    <w:multiLevelType w:val="hybridMultilevel"/>
    <w:tmpl w:val="B024C5C0"/>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8E2F86"/>
    <w:multiLevelType w:val="hybridMultilevel"/>
    <w:tmpl w:val="EDBAAFAA"/>
    <w:lvl w:ilvl="0" w:tplc="80FE3524">
      <w:start w:val="1"/>
      <w:numFmt w:val="lowerLetter"/>
      <w:lvlText w:val="(%1)"/>
      <w:lvlJc w:val="left"/>
      <w:pPr>
        <w:ind w:left="2880" w:hanging="720"/>
      </w:pPr>
      <w:rPr>
        <w:rFonts w:hint="default"/>
      </w:rPr>
    </w:lvl>
    <w:lvl w:ilvl="1" w:tplc="1C090019" w:tentative="1">
      <w:start w:val="1"/>
      <w:numFmt w:val="lowerLetter"/>
      <w:lvlText w:val="%2."/>
      <w:lvlJc w:val="left"/>
      <w:pPr>
        <w:ind w:left="3240" w:hanging="360"/>
      </w:pPr>
    </w:lvl>
    <w:lvl w:ilvl="2" w:tplc="1C09001B" w:tentative="1">
      <w:start w:val="1"/>
      <w:numFmt w:val="lowerRoman"/>
      <w:lvlText w:val="%3."/>
      <w:lvlJc w:val="right"/>
      <w:pPr>
        <w:ind w:left="3960" w:hanging="180"/>
      </w:pPr>
    </w:lvl>
    <w:lvl w:ilvl="3" w:tplc="1C09000F" w:tentative="1">
      <w:start w:val="1"/>
      <w:numFmt w:val="decimal"/>
      <w:lvlText w:val="%4."/>
      <w:lvlJc w:val="left"/>
      <w:pPr>
        <w:ind w:left="4680" w:hanging="360"/>
      </w:pPr>
    </w:lvl>
    <w:lvl w:ilvl="4" w:tplc="1C090019" w:tentative="1">
      <w:start w:val="1"/>
      <w:numFmt w:val="lowerLetter"/>
      <w:lvlText w:val="%5."/>
      <w:lvlJc w:val="left"/>
      <w:pPr>
        <w:ind w:left="5400" w:hanging="360"/>
      </w:pPr>
    </w:lvl>
    <w:lvl w:ilvl="5" w:tplc="1C09001B" w:tentative="1">
      <w:start w:val="1"/>
      <w:numFmt w:val="lowerRoman"/>
      <w:lvlText w:val="%6."/>
      <w:lvlJc w:val="right"/>
      <w:pPr>
        <w:ind w:left="6120" w:hanging="180"/>
      </w:pPr>
    </w:lvl>
    <w:lvl w:ilvl="6" w:tplc="1C09000F" w:tentative="1">
      <w:start w:val="1"/>
      <w:numFmt w:val="decimal"/>
      <w:lvlText w:val="%7."/>
      <w:lvlJc w:val="left"/>
      <w:pPr>
        <w:ind w:left="6840" w:hanging="360"/>
      </w:pPr>
    </w:lvl>
    <w:lvl w:ilvl="7" w:tplc="1C090019" w:tentative="1">
      <w:start w:val="1"/>
      <w:numFmt w:val="lowerLetter"/>
      <w:lvlText w:val="%8."/>
      <w:lvlJc w:val="left"/>
      <w:pPr>
        <w:ind w:left="7560" w:hanging="360"/>
      </w:pPr>
    </w:lvl>
    <w:lvl w:ilvl="8" w:tplc="1C09001B" w:tentative="1">
      <w:start w:val="1"/>
      <w:numFmt w:val="lowerRoman"/>
      <w:lvlText w:val="%9."/>
      <w:lvlJc w:val="right"/>
      <w:pPr>
        <w:ind w:left="8280" w:hanging="180"/>
      </w:pPr>
    </w:lvl>
  </w:abstractNum>
  <w:abstractNum w:abstractNumId="4">
    <w:nsid w:val="43A724B6"/>
    <w:multiLevelType w:val="hybridMultilevel"/>
    <w:tmpl w:val="1C2055A0"/>
    <w:lvl w:ilvl="0" w:tplc="E80483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EC94623"/>
    <w:multiLevelType w:val="multilevel"/>
    <w:tmpl w:val="C0227A88"/>
    <w:lvl w:ilvl="0">
      <w:start w:val="1"/>
      <w:numFmt w:val="decimal"/>
      <w:pStyle w:val="ClaireNew"/>
      <w:lvlText w:val="%1."/>
      <w:lvlJc w:val="left"/>
      <w:pPr>
        <w:tabs>
          <w:tab w:val="num" w:pos="680"/>
        </w:tabs>
        <w:ind w:left="680" w:hanging="680"/>
      </w:pPr>
      <w:rPr>
        <w:rFonts w:ascii="Arial" w:hAnsi="Arial" w:cs="Arial" w:hint="default"/>
      </w:rPr>
    </w:lvl>
    <w:lvl w:ilvl="1">
      <w:start w:val="1"/>
      <w:numFmt w:val="decimal"/>
      <w:lvlText w:val="%1.%2."/>
      <w:lvlJc w:val="left"/>
      <w:pPr>
        <w:tabs>
          <w:tab w:val="num" w:pos="1418"/>
        </w:tabs>
        <w:ind w:left="1418" w:hanging="1418"/>
      </w:pPr>
      <w:rPr>
        <w:rFonts w:ascii="Arial" w:hAnsi="Arial" w:cs="Arial" w:hint="default"/>
      </w:rPr>
    </w:lvl>
    <w:lvl w:ilvl="2">
      <w:start w:val="1"/>
      <w:numFmt w:val="decimal"/>
      <w:lvlText w:val="%1.%2.%3."/>
      <w:lvlJc w:val="left"/>
      <w:pPr>
        <w:tabs>
          <w:tab w:val="num" w:pos="2381"/>
        </w:tabs>
        <w:ind w:left="2381" w:hanging="2381"/>
      </w:pPr>
      <w:rPr>
        <w:rFonts w:ascii="Arial" w:hAnsi="Arial" w:cs="Aria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nsid w:val="525C4AE1"/>
    <w:multiLevelType w:val="multilevel"/>
    <w:tmpl w:val="A8B237D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6D4B1E0C"/>
    <w:multiLevelType w:val="multilevel"/>
    <w:tmpl w:val="F0CC78D6"/>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nsid w:val="786504D4"/>
    <w:multiLevelType w:val="hybridMultilevel"/>
    <w:tmpl w:val="D14A89BA"/>
    <w:lvl w:ilvl="0" w:tplc="922E888C">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5"/>
  </w:num>
  <w:num w:numId="2">
    <w:abstractNumId w:val="3"/>
  </w:num>
  <w:num w:numId="3">
    <w:abstractNumId w:val="1"/>
  </w:num>
  <w:num w:numId="4">
    <w:abstractNumId w:val="6"/>
  </w:num>
  <w:num w:numId="5">
    <w:abstractNumId w:val="0"/>
  </w:num>
  <w:num w:numId="6">
    <w:abstractNumId w:val="2"/>
  </w:num>
  <w:num w:numId="7">
    <w:abstractNumId w:val="7"/>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258DCAE-2117-487D-8F0E-389C8CDCB508}"/>
    <w:docVar w:name="dgnword-eventsink" w:val="75611232"/>
  </w:docVars>
  <w:rsids>
    <w:rsidRoot w:val="00A93525"/>
    <w:rsid w:val="00017964"/>
    <w:rsid w:val="0003674D"/>
    <w:rsid w:val="000459F0"/>
    <w:rsid w:val="00055564"/>
    <w:rsid w:val="0006015E"/>
    <w:rsid w:val="00081B21"/>
    <w:rsid w:val="000979FF"/>
    <w:rsid w:val="000A0847"/>
    <w:rsid w:val="000A506A"/>
    <w:rsid w:val="000F108B"/>
    <w:rsid w:val="000F6BDC"/>
    <w:rsid w:val="00120822"/>
    <w:rsid w:val="00126D92"/>
    <w:rsid w:val="00146650"/>
    <w:rsid w:val="001B75B3"/>
    <w:rsid w:val="001D6384"/>
    <w:rsid w:val="001D6B02"/>
    <w:rsid w:val="001F4E05"/>
    <w:rsid w:val="00201ED3"/>
    <w:rsid w:val="002052AA"/>
    <w:rsid w:val="00211BE9"/>
    <w:rsid w:val="0023150C"/>
    <w:rsid w:val="002620CF"/>
    <w:rsid w:val="002774F5"/>
    <w:rsid w:val="002B21D2"/>
    <w:rsid w:val="002B7E2D"/>
    <w:rsid w:val="002D5AF0"/>
    <w:rsid w:val="002F2A7C"/>
    <w:rsid w:val="00311DF5"/>
    <w:rsid w:val="00312643"/>
    <w:rsid w:val="003146EE"/>
    <w:rsid w:val="0032541C"/>
    <w:rsid w:val="00340B3F"/>
    <w:rsid w:val="003477ED"/>
    <w:rsid w:val="00356734"/>
    <w:rsid w:val="003617B3"/>
    <w:rsid w:val="00376552"/>
    <w:rsid w:val="00383562"/>
    <w:rsid w:val="00387BC6"/>
    <w:rsid w:val="00394797"/>
    <w:rsid w:val="00396FD5"/>
    <w:rsid w:val="003A6BCB"/>
    <w:rsid w:val="003A78F7"/>
    <w:rsid w:val="003B601E"/>
    <w:rsid w:val="003D44B3"/>
    <w:rsid w:val="003E66E8"/>
    <w:rsid w:val="00406A4D"/>
    <w:rsid w:val="00406D6A"/>
    <w:rsid w:val="004251C1"/>
    <w:rsid w:val="004418DA"/>
    <w:rsid w:val="004576E7"/>
    <w:rsid w:val="00476015"/>
    <w:rsid w:val="004870B0"/>
    <w:rsid w:val="00491021"/>
    <w:rsid w:val="0049189C"/>
    <w:rsid w:val="00493A2B"/>
    <w:rsid w:val="004B0B30"/>
    <w:rsid w:val="004B0E23"/>
    <w:rsid w:val="004B5743"/>
    <w:rsid w:val="004B74F7"/>
    <w:rsid w:val="004C4008"/>
    <w:rsid w:val="004C4152"/>
    <w:rsid w:val="004E4E88"/>
    <w:rsid w:val="004F323A"/>
    <w:rsid w:val="005046EB"/>
    <w:rsid w:val="0050664D"/>
    <w:rsid w:val="00517ABC"/>
    <w:rsid w:val="005420E9"/>
    <w:rsid w:val="0055219A"/>
    <w:rsid w:val="00554BB0"/>
    <w:rsid w:val="005573B0"/>
    <w:rsid w:val="00561A23"/>
    <w:rsid w:val="005700EB"/>
    <w:rsid w:val="005752F6"/>
    <w:rsid w:val="0057609E"/>
    <w:rsid w:val="00587A2A"/>
    <w:rsid w:val="005C01EA"/>
    <w:rsid w:val="005C3E5E"/>
    <w:rsid w:val="005C4BC0"/>
    <w:rsid w:val="005D4DAD"/>
    <w:rsid w:val="005D643D"/>
    <w:rsid w:val="005E3FA6"/>
    <w:rsid w:val="005F5B3B"/>
    <w:rsid w:val="006252C2"/>
    <w:rsid w:val="00630989"/>
    <w:rsid w:val="00635B83"/>
    <w:rsid w:val="006365E7"/>
    <w:rsid w:val="00650C36"/>
    <w:rsid w:val="00681BAF"/>
    <w:rsid w:val="00687565"/>
    <w:rsid w:val="006959EE"/>
    <w:rsid w:val="006A5910"/>
    <w:rsid w:val="006D0C86"/>
    <w:rsid w:val="006E53D5"/>
    <w:rsid w:val="006F0C38"/>
    <w:rsid w:val="0070236A"/>
    <w:rsid w:val="00705D93"/>
    <w:rsid w:val="00712CA1"/>
    <w:rsid w:val="00722477"/>
    <w:rsid w:val="00727F93"/>
    <w:rsid w:val="007364E6"/>
    <w:rsid w:val="00742C8F"/>
    <w:rsid w:val="00757726"/>
    <w:rsid w:val="0076304A"/>
    <w:rsid w:val="00783947"/>
    <w:rsid w:val="00790F45"/>
    <w:rsid w:val="00792474"/>
    <w:rsid w:val="00796C9F"/>
    <w:rsid w:val="007A7D9A"/>
    <w:rsid w:val="007C4E4B"/>
    <w:rsid w:val="007C5598"/>
    <w:rsid w:val="007C651F"/>
    <w:rsid w:val="007F00BD"/>
    <w:rsid w:val="008518D3"/>
    <w:rsid w:val="0085491A"/>
    <w:rsid w:val="008867D7"/>
    <w:rsid w:val="008903A7"/>
    <w:rsid w:val="008A2242"/>
    <w:rsid w:val="008B6695"/>
    <w:rsid w:val="008D2E7A"/>
    <w:rsid w:val="008D4199"/>
    <w:rsid w:val="008F0A98"/>
    <w:rsid w:val="008F7C8A"/>
    <w:rsid w:val="00902A43"/>
    <w:rsid w:val="00903CD8"/>
    <w:rsid w:val="0091426E"/>
    <w:rsid w:val="0092467B"/>
    <w:rsid w:val="00935D6D"/>
    <w:rsid w:val="00965A71"/>
    <w:rsid w:val="00967CD6"/>
    <w:rsid w:val="0097758A"/>
    <w:rsid w:val="009937F6"/>
    <w:rsid w:val="009A0621"/>
    <w:rsid w:val="009A14B0"/>
    <w:rsid w:val="009D194F"/>
    <w:rsid w:val="009D30DD"/>
    <w:rsid w:val="009E7243"/>
    <w:rsid w:val="00A370D4"/>
    <w:rsid w:val="00A54FBE"/>
    <w:rsid w:val="00A552C9"/>
    <w:rsid w:val="00A826E5"/>
    <w:rsid w:val="00A93525"/>
    <w:rsid w:val="00AA26C4"/>
    <w:rsid w:val="00AC1948"/>
    <w:rsid w:val="00AD2E25"/>
    <w:rsid w:val="00AD7BBE"/>
    <w:rsid w:val="00AE037B"/>
    <w:rsid w:val="00AE5798"/>
    <w:rsid w:val="00AF01DC"/>
    <w:rsid w:val="00B11FDD"/>
    <w:rsid w:val="00B21F94"/>
    <w:rsid w:val="00B2236C"/>
    <w:rsid w:val="00B32B5E"/>
    <w:rsid w:val="00B51BB7"/>
    <w:rsid w:val="00B61886"/>
    <w:rsid w:val="00B628B8"/>
    <w:rsid w:val="00B83EE9"/>
    <w:rsid w:val="00B91E35"/>
    <w:rsid w:val="00BA1E52"/>
    <w:rsid w:val="00BA50D5"/>
    <w:rsid w:val="00BB23B4"/>
    <w:rsid w:val="00BB6E61"/>
    <w:rsid w:val="00BD644E"/>
    <w:rsid w:val="00BE098D"/>
    <w:rsid w:val="00BF1EC7"/>
    <w:rsid w:val="00BF3BF6"/>
    <w:rsid w:val="00BF4957"/>
    <w:rsid w:val="00C01C71"/>
    <w:rsid w:val="00C17C1E"/>
    <w:rsid w:val="00C2242D"/>
    <w:rsid w:val="00C3416B"/>
    <w:rsid w:val="00C37C07"/>
    <w:rsid w:val="00C42AAB"/>
    <w:rsid w:val="00C6590E"/>
    <w:rsid w:val="00C80786"/>
    <w:rsid w:val="00C83E76"/>
    <w:rsid w:val="00C84462"/>
    <w:rsid w:val="00C97E0B"/>
    <w:rsid w:val="00CC3D9C"/>
    <w:rsid w:val="00CC55BB"/>
    <w:rsid w:val="00CE07C6"/>
    <w:rsid w:val="00CF4A3D"/>
    <w:rsid w:val="00D03ED2"/>
    <w:rsid w:val="00D31405"/>
    <w:rsid w:val="00D34317"/>
    <w:rsid w:val="00D45B8F"/>
    <w:rsid w:val="00D47BB1"/>
    <w:rsid w:val="00D531B0"/>
    <w:rsid w:val="00D74753"/>
    <w:rsid w:val="00D96097"/>
    <w:rsid w:val="00DC5098"/>
    <w:rsid w:val="00DD3451"/>
    <w:rsid w:val="00DF28E3"/>
    <w:rsid w:val="00DF38BD"/>
    <w:rsid w:val="00E016CB"/>
    <w:rsid w:val="00E115E0"/>
    <w:rsid w:val="00E271BE"/>
    <w:rsid w:val="00E40FCF"/>
    <w:rsid w:val="00E5541D"/>
    <w:rsid w:val="00E71E8B"/>
    <w:rsid w:val="00E9456A"/>
    <w:rsid w:val="00EA3217"/>
    <w:rsid w:val="00EB219E"/>
    <w:rsid w:val="00EB4BB3"/>
    <w:rsid w:val="00EC40B0"/>
    <w:rsid w:val="00EC5EBB"/>
    <w:rsid w:val="00EC6FAA"/>
    <w:rsid w:val="00EF7BD5"/>
    <w:rsid w:val="00F2769C"/>
    <w:rsid w:val="00F27CAD"/>
    <w:rsid w:val="00F47A1E"/>
    <w:rsid w:val="00F67EED"/>
    <w:rsid w:val="00F76592"/>
    <w:rsid w:val="00FA5933"/>
    <w:rsid w:val="00FB5D2D"/>
    <w:rsid w:val="00FC5C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525"/>
    <w:rPr>
      <w:rFonts w:eastAsiaTheme="minorEastAsia"/>
    </w:rPr>
  </w:style>
  <w:style w:type="paragraph" w:styleId="Heading1">
    <w:name w:val="heading 1"/>
    <w:basedOn w:val="Normal"/>
    <w:next w:val="Normal"/>
    <w:link w:val="Heading1Char"/>
    <w:uiPriority w:val="9"/>
    <w:qFormat/>
    <w:rsid w:val="001D63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1D6384"/>
    <w:pPr>
      <w:spacing w:after="0" w:line="240" w:lineRule="auto"/>
    </w:pPr>
    <w:rPr>
      <w:sz w:val="20"/>
      <w:szCs w:val="20"/>
    </w:rPr>
  </w:style>
  <w:style w:type="character" w:customStyle="1" w:styleId="FootnoteTextChar">
    <w:name w:val="Footnote Text Char"/>
    <w:basedOn w:val="DefaultParagraphFont"/>
    <w:link w:val="FootnoteText"/>
    <w:rsid w:val="001D6384"/>
    <w:rPr>
      <w:rFonts w:eastAsiaTheme="minorEastAsia"/>
      <w:sz w:val="20"/>
      <w:szCs w:val="20"/>
    </w:rPr>
  </w:style>
  <w:style w:type="character" w:styleId="FootnoteReference">
    <w:name w:val="footnote reference"/>
    <w:aliases w:val="Footnote Reference + Superscript"/>
    <w:basedOn w:val="DefaultParagraphFont"/>
    <w:unhideWhenUsed/>
    <w:rsid w:val="001D6384"/>
    <w:rPr>
      <w:vertAlign w:val="superscript"/>
    </w:rPr>
  </w:style>
  <w:style w:type="paragraph" w:customStyle="1" w:styleId="ClaireNew">
    <w:name w:val="Claire New"/>
    <w:basedOn w:val="Heading1"/>
    <w:rsid w:val="001D6384"/>
    <w:pPr>
      <w:keepNext w:val="0"/>
      <w:keepLines w:val="0"/>
      <w:numPr>
        <w:numId w:val="1"/>
      </w:numPr>
      <w:tabs>
        <w:tab w:val="clear" w:pos="680"/>
        <w:tab w:val="num" w:pos="360"/>
      </w:tabs>
      <w:spacing w:before="360" w:line="360" w:lineRule="auto"/>
      <w:ind w:left="0" w:firstLine="0"/>
      <w:jc w:val="both"/>
    </w:pPr>
    <w:rPr>
      <w:rFonts w:ascii="Tahoma" w:eastAsia="Times New Roman" w:hAnsi="Tahoma" w:cs="Arial"/>
      <w:b w:val="0"/>
      <w:color w:val="auto"/>
      <w:kern w:val="32"/>
      <w:sz w:val="24"/>
      <w:szCs w:val="32"/>
    </w:rPr>
  </w:style>
  <w:style w:type="character" w:customStyle="1" w:styleId="Heading1Char">
    <w:name w:val="Heading 1 Char"/>
    <w:basedOn w:val="DefaultParagraphFont"/>
    <w:link w:val="Heading1"/>
    <w:uiPriority w:val="9"/>
    <w:rsid w:val="001D6384"/>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1D63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6384"/>
    <w:rPr>
      <w:rFonts w:eastAsiaTheme="minorEastAsia"/>
    </w:rPr>
  </w:style>
  <w:style w:type="paragraph" w:styleId="ListParagraph">
    <w:name w:val="List Paragraph"/>
    <w:basedOn w:val="Normal"/>
    <w:uiPriority w:val="34"/>
    <w:qFormat/>
    <w:rsid w:val="001D6384"/>
    <w:pPr>
      <w:ind w:left="720"/>
      <w:contextualSpacing/>
    </w:pPr>
  </w:style>
  <w:style w:type="paragraph" w:styleId="Footer">
    <w:name w:val="footer"/>
    <w:basedOn w:val="Normal"/>
    <w:link w:val="FooterChar"/>
    <w:uiPriority w:val="99"/>
    <w:unhideWhenUsed/>
    <w:rsid w:val="001D63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384"/>
    <w:rPr>
      <w:rFonts w:eastAsiaTheme="minorEastAsia"/>
    </w:rPr>
  </w:style>
  <w:style w:type="paragraph" w:styleId="BalloonText">
    <w:name w:val="Balloon Text"/>
    <w:basedOn w:val="Normal"/>
    <w:link w:val="BalloonTextChar"/>
    <w:uiPriority w:val="99"/>
    <w:semiHidden/>
    <w:unhideWhenUsed/>
    <w:rsid w:val="00EC5E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EBB"/>
    <w:rPr>
      <w:rFonts w:ascii="Tahoma" w:eastAsiaTheme="minorEastAsia" w:hAnsi="Tahoma" w:cs="Tahoma"/>
      <w:sz w:val="16"/>
      <w:szCs w:val="16"/>
    </w:rPr>
  </w:style>
  <w:style w:type="paragraph" w:customStyle="1" w:styleId="western">
    <w:name w:val="western"/>
    <w:basedOn w:val="Normal"/>
    <w:rsid w:val="00687565"/>
    <w:pPr>
      <w:spacing w:before="144" w:after="288"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525"/>
    <w:rPr>
      <w:rFonts w:eastAsiaTheme="minorEastAsia"/>
    </w:rPr>
  </w:style>
  <w:style w:type="paragraph" w:styleId="Heading1">
    <w:name w:val="heading 1"/>
    <w:basedOn w:val="Normal"/>
    <w:next w:val="Normal"/>
    <w:link w:val="Heading1Char"/>
    <w:uiPriority w:val="9"/>
    <w:qFormat/>
    <w:rsid w:val="001D63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1D6384"/>
    <w:pPr>
      <w:spacing w:after="0" w:line="240" w:lineRule="auto"/>
    </w:pPr>
    <w:rPr>
      <w:sz w:val="20"/>
      <w:szCs w:val="20"/>
    </w:rPr>
  </w:style>
  <w:style w:type="character" w:customStyle="1" w:styleId="FootnoteTextChar">
    <w:name w:val="Footnote Text Char"/>
    <w:basedOn w:val="DefaultParagraphFont"/>
    <w:link w:val="FootnoteText"/>
    <w:rsid w:val="001D6384"/>
    <w:rPr>
      <w:rFonts w:eastAsiaTheme="minorEastAsia"/>
      <w:sz w:val="20"/>
      <w:szCs w:val="20"/>
    </w:rPr>
  </w:style>
  <w:style w:type="character" w:styleId="FootnoteReference">
    <w:name w:val="footnote reference"/>
    <w:aliases w:val="Footnote Reference + Superscript"/>
    <w:basedOn w:val="DefaultParagraphFont"/>
    <w:unhideWhenUsed/>
    <w:rsid w:val="001D6384"/>
    <w:rPr>
      <w:vertAlign w:val="superscript"/>
    </w:rPr>
  </w:style>
  <w:style w:type="paragraph" w:customStyle="1" w:styleId="ClaireNew">
    <w:name w:val="Claire New"/>
    <w:basedOn w:val="Heading1"/>
    <w:rsid w:val="001D6384"/>
    <w:pPr>
      <w:keepNext w:val="0"/>
      <w:keepLines w:val="0"/>
      <w:numPr>
        <w:numId w:val="1"/>
      </w:numPr>
      <w:tabs>
        <w:tab w:val="clear" w:pos="680"/>
        <w:tab w:val="num" w:pos="360"/>
      </w:tabs>
      <w:spacing w:before="360" w:line="360" w:lineRule="auto"/>
      <w:ind w:left="0" w:firstLine="0"/>
      <w:jc w:val="both"/>
    </w:pPr>
    <w:rPr>
      <w:rFonts w:ascii="Tahoma" w:eastAsia="Times New Roman" w:hAnsi="Tahoma" w:cs="Arial"/>
      <w:b w:val="0"/>
      <w:color w:val="auto"/>
      <w:kern w:val="32"/>
      <w:sz w:val="24"/>
      <w:szCs w:val="32"/>
    </w:rPr>
  </w:style>
  <w:style w:type="character" w:customStyle="1" w:styleId="Heading1Char">
    <w:name w:val="Heading 1 Char"/>
    <w:basedOn w:val="DefaultParagraphFont"/>
    <w:link w:val="Heading1"/>
    <w:uiPriority w:val="9"/>
    <w:rsid w:val="001D6384"/>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1D63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6384"/>
    <w:rPr>
      <w:rFonts w:eastAsiaTheme="minorEastAsia"/>
    </w:rPr>
  </w:style>
  <w:style w:type="paragraph" w:styleId="ListParagraph">
    <w:name w:val="List Paragraph"/>
    <w:basedOn w:val="Normal"/>
    <w:uiPriority w:val="34"/>
    <w:qFormat/>
    <w:rsid w:val="001D6384"/>
    <w:pPr>
      <w:ind w:left="720"/>
      <w:contextualSpacing/>
    </w:pPr>
  </w:style>
  <w:style w:type="paragraph" w:styleId="Footer">
    <w:name w:val="footer"/>
    <w:basedOn w:val="Normal"/>
    <w:link w:val="FooterChar"/>
    <w:uiPriority w:val="99"/>
    <w:unhideWhenUsed/>
    <w:rsid w:val="001D63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384"/>
    <w:rPr>
      <w:rFonts w:eastAsiaTheme="minorEastAsia"/>
    </w:rPr>
  </w:style>
  <w:style w:type="paragraph" w:styleId="BalloonText">
    <w:name w:val="Balloon Text"/>
    <w:basedOn w:val="Normal"/>
    <w:link w:val="BalloonTextChar"/>
    <w:uiPriority w:val="99"/>
    <w:semiHidden/>
    <w:unhideWhenUsed/>
    <w:rsid w:val="00EC5E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EBB"/>
    <w:rPr>
      <w:rFonts w:ascii="Tahoma" w:eastAsiaTheme="minorEastAsia" w:hAnsi="Tahoma" w:cs="Tahoma"/>
      <w:sz w:val="16"/>
      <w:szCs w:val="16"/>
    </w:rPr>
  </w:style>
  <w:style w:type="paragraph" w:customStyle="1" w:styleId="western">
    <w:name w:val="western"/>
    <w:basedOn w:val="Normal"/>
    <w:rsid w:val="00687565"/>
    <w:pPr>
      <w:spacing w:before="144" w:after="288"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86FB6-11DB-47C5-809C-86A44C7F1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10372</Words>
  <Characters>59126</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ITC of the ILO</Company>
  <LinksUpToDate>false</LinksUpToDate>
  <CharactersWithSpaces>69360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Niekerk Andre</dc:creator>
  <cp:lastModifiedBy>Tzehainesh Tekle</cp:lastModifiedBy>
  <cp:revision>2</cp:revision>
  <cp:lastPrinted>2014-06-20T11:33:00Z</cp:lastPrinted>
  <dcterms:created xsi:type="dcterms:W3CDTF">2014-07-24T07:26:00Z</dcterms:created>
  <dcterms:modified xsi:type="dcterms:W3CDTF">2014-07-24T07:26:00Z</dcterms:modified>
</cp:coreProperties>
</file>