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9A7" w:rsidRPr="0085722A" w:rsidRDefault="00CD49A7">
      <w:pPr>
        <w:jc w:val="center"/>
      </w:pPr>
      <w:bookmarkStart w:id="0" w:name="_GoBack"/>
      <w:bookmarkEnd w:id="0"/>
    </w:p>
    <w:p w:rsidR="00CD49A7" w:rsidRPr="0085722A" w:rsidRDefault="00FC2966">
      <w:pPr>
        <w:jc w:val="center"/>
      </w:pPr>
      <w:r w:rsidRPr="0085722A">
        <w:t>SECOND SECTION</w:t>
      </w: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CD49A7">
      <w:pPr>
        <w:jc w:val="center"/>
        <w:rPr>
          <w:b/>
        </w:rPr>
      </w:pPr>
      <w:r w:rsidRPr="0085722A">
        <w:rPr>
          <w:b/>
        </w:rPr>
        <w:t xml:space="preserve">CASE OF </w:t>
      </w:r>
      <w:r w:rsidR="00FC2966" w:rsidRPr="0085722A">
        <w:rPr>
          <w:b/>
        </w:rPr>
        <w:t xml:space="preserve">SILIADIN v. </w:t>
      </w:r>
      <w:smartTag w:uri="urn:schemas-microsoft-com:office:smarttags" w:element="place">
        <w:smartTag w:uri="urn:schemas-microsoft-com:office:smarttags" w:element="country-region">
          <w:r w:rsidR="00FC2966" w:rsidRPr="0085722A">
            <w:rPr>
              <w:b/>
            </w:rPr>
            <w:t>FRANCE</w:t>
          </w:r>
        </w:smartTag>
      </w:smartTag>
    </w:p>
    <w:p w:rsidR="00CD49A7" w:rsidRPr="0085722A" w:rsidRDefault="00CD49A7">
      <w:pPr>
        <w:jc w:val="center"/>
      </w:pPr>
    </w:p>
    <w:p w:rsidR="00CD49A7" w:rsidRPr="0085722A" w:rsidRDefault="00CD49A7">
      <w:pPr>
        <w:jc w:val="center"/>
        <w:rPr>
          <w:i/>
        </w:rPr>
      </w:pPr>
      <w:r w:rsidRPr="0085722A">
        <w:rPr>
          <w:i/>
        </w:rPr>
        <w:t>(</w:t>
      </w:r>
      <w:r w:rsidR="00FC2966" w:rsidRPr="0085722A">
        <w:rPr>
          <w:i/>
        </w:rPr>
        <w:t>Application no. 73316/01</w:t>
      </w:r>
      <w:r w:rsidRPr="0085722A">
        <w:rPr>
          <w:i/>
        </w:rPr>
        <w:t>)</w:t>
      </w: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CD49A7">
      <w:pPr>
        <w:jc w:val="center"/>
      </w:pPr>
    </w:p>
    <w:p w:rsidR="00CD49A7" w:rsidRPr="0085722A" w:rsidRDefault="007A2F6F">
      <w:pPr>
        <w:jc w:val="center"/>
      </w:pPr>
      <w:r w:rsidRPr="0085722A">
        <w:t>JUDGMENT</w:t>
      </w:r>
    </w:p>
    <w:p w:rsidR="007A2F6F" w:rsidRPr="0085722A" w:rsidRDefault="007A2F6F">
      <w:pPr>
        <w:jc w:val="center"/>
      </w:pPr>
    </w:p>
    <w:p w:rsidR="007A2F6F" w:rsidRPr="0085722A" w:rsidRDefault="007A2F6F">
      <w:pPr>
        <w:jc w:val="center"/>
      </w:pPr>
    </w:p>
    <w:p w:rsidR="007A2F6F" w:rsidRPr="0085722A" w:rsidRDefault="007A2F6F">
      <w:pPr>
        <w:jc w:val="center"/>
      </w:pPr>
      <w:smartTag w:uri="urn:schemas-microsoft-com:office:smarttags" w:element="place">
        <w:smartTag w:uri="urn:schemas-microsoft-com:office:smarttags" w:element="City">
          <w:r w:rsidRPr="0085722A">
            <w:t>STRASBOURG</w:t>
          </w:r>
        </w:smartTag>
      </w:smartTag>
    </w:p>
    <w:p w:rsidR="00CD49A7" w:rsidRPr="0085722A" w:rsidRDefault="00CD49A7">
      <w:pPr>
        <w:jc w:val="center"/>
      </w:pPr>
    </w:p>
    <w:p w:rsidR="00C63C92" w:rsidRDefault="007A2F6F">
      <w:pPr>
        <w:jc w:val="center"/>
      </w:pPr>
      <w:r w:rsidRPr="0085722A">
        <w:t>26 July 2005</w:t>
      </w:r>
    </w:p>
    <w:p w:rsidR="00CD49A7" w:rsidRPr="0085722A" w:rsidRDefault="00CD49A7">
      <w:pPr>
        <w:jc w:val="center"/>
      </w:pPr>
    </w:p>
    <w:p w:rsidR="00CD49A7" w:rsidRPr="0085722A" w:rsidRDefault="00CD49A7">
      <w:pPr>
        <w:jc w:val="center"/>
      </w:pPr>
    </w:p>
    <w:p w:rsidR="00CD49A7" w:rsidRPr="0085722A" w:rsidRDefault="00CD49A7">
      <w:pPr>
        <w:jc w:val="center"/>
      </w:pPr>
    </w:p>
    <w:p w:rsidR="00C63C92" w:rsidRDefault="00C63C92" w:rsidP="00C63C92">
      <w:pPr>
        <w:jc w:val="center"/>
        <w:rPr>
          <w:b/>
          <w:color w:val="FF0000"/>
          <w:sz w:val="36"/>
          <w:u w:val="single"/>
        </w:rPr>
      </w:pPr>
      <w:r>
        <w:rPr>
          <w:b/>
          <w:color w:val="FF0000"/>
          <w:sz w:val="36"/>
          <w:u w:val="single"/>
        </w:rPr>
        <w:t>FINAL</w:t>
      </w:r>
    </w:p>
    <w:p w:rsidR="00C63C92" w:rsidRDefault="00C63C92" w:rsidP="00C63C92">
      <w:pPr>
        <w:jc w:val="center"/>
        <w:rPr>
          <w:i/>
          <w:color w:val="FF0000"/>
        </w:rPr>
      </w:pPr>
    </w:p>
    <w:p w:rsidR="00C63C92" w:rsidRDefault="00C63C92" w:rsidP="00C63C92">
      <w:pPr>
        <w:jc w:val="center"/>
        <w:rPr>
          <w:i/>
          <w:color w:val="FF0000"/>
          <w:sz w:val="36"/>
        </w:rPr>
      </w:pPr>
      <w:r>
        <w:rPr>
          <w:i/>
          <w:color w:val="FF0000"/>
          <w:sz w:val="36"/>
        </w:rPr>
        <w:t>26/10/2005</w:t>
      </w:r>
    </w:p>
    <w:p w:rsidR="00CD49A7" w:rsidRPr="0085722A" w:rsidRDefault="00CD49A7">
      <w:pPr>
        <w:rPr>
          <w:sz w:val="22"/>
        </w:rPr>
      </w:pPr>
    </w:p>
    <w:p w:rsidR="00094E42" w:rsidRDefault="00094E42">
      <w:pPr>
        <w:rPr>
          <w:sz w:val="22"/>
        </w:rPr>
        <w:sectPr w:rsidR="00094E42">
          <w:headerReference w:type="even" r:id="rId9"/>
          <w:headerReference w:type="default" r:id="rId10"/>
          <w:headerReference w:type="first" r:id="rId11"/>
          <w:footnotePr>
            <w:numRestart w:val="eachPage"/>
          </w:footnotePr>
          <w:pgSz w:w="11906" w:h="16838" w:code="9"/>
          <w:pgMar w:top="2274" w:right="2274" w:bottom="2274" w:left="2274" w:header="1701" w:footer="720" w:gutter="0"/>
          <w:pgNumType w:start="0"/>
          <w:cols w:space="720"/>
          <w:titlePg/>
        </w:sectPr>
      </w:pPr>
    </w:p>
    <w:p w:rsidR="00094E42" w:rsidRDefault="00094E42">
      <w:pPr>
        <w:rPr>
          <w:sz w:val="22"/>
        </w:rPr>
        <w:sectPr w:rsidR="00094E42" w:rsidSect="00094E42">
          <w:footnotePr>
            <w:numRestart w:val="eachPage"/>
          </w:footnotePr>
          <w:type w:val="continuous"/>
          <w:pgSz w:w="11906" w:h="16838" w:code="9"/>
          <w:pgMar w:top="2274" w:right="2274" w:bottom="2274" w:left="2274" w:header="1701" w:footer="720" w:gutter="0"/>
          <w:pgNumType w:start="0"/>
          <w:cols w:space="720"/>
          <w:titlePg/>
        </w:sectPr>
      </w:pPr>
    </w:p>
    <w:p w:rsidR="00CD49A7" w:rsidRPr="0085722A" w:rsidRDefault="00CD49A7">
      <w:pPr>
        <w:rPr>
          <w:sz w:val="22"/>
        </w:rPr>
      </w:pPr>
    </w:p>
    <w:p w:rsidR="00CD49A7" w:rsidRPr="0085722A" w:rsidRDefault="00CD49A7">
      <w:pPr>
        <w:pStyle w:val="JuCase"/>
      </w:pPr>
      <w:r w:rsidRPr="0085722A">
        <w:br w:type="page"/>
      </w:r>
      <w:r w:rsidRPr="0085722A">
        <w:lastRenderedPageBreak/>
        <w:t xml:space="preserve">In the case of </w:t>
      </w:r>
      <w:r w:rsidR="00FC2966" w:rsidRPr="0085722A">
        <w:t xml:space="preserve">Siliadin v. </w:t>
      </w:r>
      <w:smartTag w:uri="urn:schemas-microsoft-com:office:smarttags" w:element="place">
        <w:smartTag w:uri="urn:schemas-microsoft-com:office:smarttags" w:element="country-region">
          <w:r w:rsidR="00FC2966" w:rsidRPr="0085722A">
            <w:t>France</w:t>
          </w:r>
        </w:smartTag>
      </w:smartTag>
      <w:r w:rsidRPr="0085722A">
        <w:t>,</w:t>
      </w:r>
    </w:p>
    <w:p w:rsidR="005803E1" w:rsidRPr="0085722A" w:rsidRDefault="00CD49A7" w:rsidP="005803E1">
      <w:pPr>
        <w:pStyle w:val="JuPara"/>
      </w:pPr>
      <w:r w:rsidRPr="0085722A">
        <w:t>The European Court of Human Rights</w:t>
      </w:r>
      <w:r w:rsidR="00FC2966" w:rsidRPr="0085722A">
        <w:t xml:space="preserve"> (Second Section)</w:t>
      </w:r>
      <w:r w:rsidRPr="0085722A">
        <w:t xml:space="preserve">, sitting as a </w:t>
      </w:r>
      <w:r w:rsidR="00FC2966" w:rsidRPr="0085722A">
        <w:t>Chamber</w:t>
      </w:r>
      <w:r w:rsidRPr="0085722A">
        <w:t xml:space="preserve"> </w:t>
      </w:r>
      <w:r w:rsidR="005803E1" w:rsidRPr="0085722A">
        <w:t>composed of:</w:t>
      </w:r>
    </w:p>
    <w:p w:rsidR="00D015AA" w:rsidRDefault="00D015AA" w:rsidP="005803E1">
      <w:pPr>
        <w:pStyle w:val="JuJudges"/>
      </w:pPr>
      <w:r>
        <w:tab/>
        <w:t xml:space="preserve">Mr </w:t>
      </w:r>
      <w:r>
        <w:tab/>
      </w:r>
      <w:r w:rsidRPr="0085722A">
        <w:rPr>
          <w:rStyle w:val="JuNames"/>
        </w:rPr>
        <w:t>I.</w:t>
      </w:r>
      <w:r w:rsidRPr="0085722A">
        <w:t xml:space="preserve"> </w:t>
      </w:r>
      <w:r w:rsidRPr="0085722A">
        <w:rPr>
          <w:rStyle w:val="JuNames"/>
        </w:rPr>
        <w:t>Cabral Barreto</w:t>
      </w:r>
      <w:r>
        <w:rPr>
          <w:rStyle w:val="JuNames"/>
        </w:rPr>
        <w:t xml:space="preserve">, </w:t>
      </w:r>
      <w:r>
        <w:rPr>
          <w:i/>
        </w:rPr>
        <w:t>President</w:t>
      </w:r>
      <w:r>
        <w:t>,</w:t>
      </w:r>
      <w:r>
        <w:br/>
      </w:r>
      <w:r>
        <w:tab/>
        <w:t>Mr</w:t>
      </w:r>
      <w:r>
        <w:tab/>
      </w:r>
      <w:r w:rsidRPr="0085722A">
        <w:rPr>
          <w:rStyle w:val="JuNames"/>
        </w:rPr>
        <w:t>J.-P.</w:t>
      </w:r>
      <w:r w:rsidRPr="0085722A">
        <w:t xml:space="preserve"> </w:t>
      </w:r>
      <w:r w:rsidRPr="0085722A">
        <w:rPr>
          <w:rStyle w:val="JuNames"/>
        </w:rPr>
        <w:t>Costa</w:t>
      </w:r>
      <w:r w:rsidRPr="0085722A">
        <w:t>,</w:t>
      </w:r>
    </w:p>
    <w:p w:rsidR="00CD49A7" w:rsidRPr="0085722A" w:rsidRDefault="00D015AA" w:rsidP="005803E1">
      <w:pPr>
        <w:pStyle w:val="JuJudges"/>
      </w:pPr>
      <w:r>
        <w:tab/>
        <w:t>Mr</w:t>
      </w:r>
      <w:r>
        <w:tab/>
      </w:r>
      <w:r w:rsidRPr="00D015AA">
        <w:rPr>
          <w:rStyle w:val="JuNames"/>
        </w:rPr>
        <w:t>R. T</w:t>
      </w:r>
      <w:r w:rsidRPr="00D015AA">
        <w:rPr>
          <w:rStyle w:val="JuNames"/>
          <w:sz w:val="20"/>
        </w:rPr>
        <w:t>Ü</w:t>
      </w:r>
      <w:r>
        <w:rPr>
          <w:rStyle w:val="JuNames"/>
        </w:rPr>
        <w:t>rmen,</w:t>
      </w:r>
      <w:r>
        <w:br/>
      </w:r>
      <w:r>
        <w:tab/>
        <w:t>Mr</w:t>
      </w:r>
      <w:r>
        <w:tab/>
      </w:r>
      <w:r w:rsidRPr="0085722A">
        <w:rPr>
          <w:rStyle w:val="JuNames"/>
        </w:rPr>
        <w:t>K.</w:t>
      </w:r>
      <w:r w:rsidRPr="0085722A">
        <w:t xml:space="preserve"> </w:t>
      </w:r>
      <w:r w:rsidRPr="0085722A">
        <w:rPr>
          <w:rStyle w:val="JuNames"/>
        </w:rPr>
        <w:t>Jungwiert</w:t>
      </w:r>
      <w:r w:rsidRPr="0085722A">
        <w:t>,</w:t>
      </w:r>
      <w:r>
        <w:br/>
      </w:r>
      <w:r>
        <w:tab/>
        <w:t>Mr</w:t>
      </w:r>
      <w:r>
        <w:tab/>
      </w:r>
      <w:r w:rsidRPr="0085722A">
        <w:rPr>
          <w:rStyle w:val="JuNames"/>
        </w:rPr>
        <w:t>V.</w:t>
      </w:r>
      <w:r w:rsidRPr="0085722A">
        <w:t xml:space="preserve"> </w:t>
      </w:r>
      <w:r w:rsidRPr="0085722A">
        <w:rPr>
          <w:rStyle w:val="JuNames"/>
        </w:rPr>
        <w:t>Butkevych</w:t>
      </w:r>
      <w:r w:rsidRPr="0085722A">
        <w:t>,</w:t>
      </w:r>
      <w:r>
        <w:br/>
      </w:r>
      <w:r>
        <w:tab/>
        <w:t>Mrs</w:t>
      </w:r>
      <w:r>
        <w:tab/>
      </w:r>
      <w:r w:rsidRPr="0085722A">
        <w:rPr>
          <w:rStyle w:val="JuNames"/>
        </w:rPr>
        <w:t>A.</w:t>
      </w:r>
      <w:r w:rsidRPr="0085722A">
        <w:t xml:space="preserve"> </w:t>
      </w:r>
      <w:r w:rsidRPr="0085722A">
        <w:rPr>
          <w:rStyle w:val="JuNames"/>
        </w:rPr>
        <w:t>Mularoni,</w:t>
      </w:r>
      <w:r>
        <w:br/>
      </w:r>
      <w:r>
        <w:tab/>
        <w:t>Mrs</w:t>
      </w:r>
      <w:r>
        <w:tab/>
      </w:r>
      <w:r w:rsidRPr="0085722A">
        <w:rPr>
          <w:rStyle w:val="JuNames"/>
        </w:rPr>
        <w:t>E.</w:t>
      </w:r>
      <w:r w:rsidRPr="0085722A">
        <w:t xml:space="preserve"> </w:t>
      </w:r>
      <w:r w:rsidRPr="0085722A">
        <w:rPr>
          <w:rStyle w:val="JuNames"/>
        </w:rPr>
        <w:t>Fura-Sandström</w:t>
      </w:r>
      <w:r>
        <w:rPr>
          <w:rStyle w:val="JuNames"/>
        </w:rPr>
        <w:t>,</w:t>
      </w:r>
      <w:r>
        <w:t xml:space="preserve"> </w:t>
      </w:r>
      <w:r>
        <w:rPr>
          <w:i/>
        </w:rPr>
        <w:t>judges</w:t>
      </w:r>
      <w:r>
        <w:t>,</w:t>
      </w:r>
      <w:r>
        <w:br/>
      </w:r>
      <w:r w:rsidR="00CD49A7" w:rsidRPr="0085722A">
        <w:t xml:space="preserve">and </w:t>
      </w:r>
      <w:r w:rsidR="00A000C7" w:rsidRPr="0085722A">
        <w:t>Mr</w:t>
      </w:r>
      <w:r w:rsidR="00CD49A7" w:rsidRPr="0085722A">
        <w:t xml:space="preserve"> </w:t>
      </w:r>
      <w:r w:rsidR="00FC2966" w:rsidRPr="0085722A">
        <w:rPr>
          <w:rStyle w:val="JuNames"/>
        </w:rPr>
        <w:t>S.</w:t>
      </w:r>
      <w:r w:rsidR="00CD49A7" w:rsidRPr="0085722A">
        <w:t xml:space="preserve"> </w:t>
      </w:r>
      <w:r w:rsidR="00A000C7" w:rsidRPr="0085722A">
        <w:rPr>
          <w:rStyle w:val="JuNames"/>
        </w:rPr>
        <w:t>Naismith</w:t>
      </w:r>
      <w:r w:rsidR="00CD49A7" w:rsidRPr="0085722A">
        <w:t xml:space="preserve">, </w:t>
      </w:r>
      <w:r w:rsidR="00A000C7" w:rsidRPr="0085722A">
        <w:rPr>
          <w:i/>
        </w:rPr>
        <w:t xml:space="preserve">Deputy </w:t>
      </w:r>
      <w:r w:rsidR="00FC2966" w:rsidRPr="0085722A">
        <w:rPr>
          <w:i/>
        </w:rPr>
        <w:t>Section Registrar</w:t>
      </w:r>
      <w:r w:rsidR="00CD49A7" w:rsidRPr="0085722A">
        <w:t>,</w:t>
      </w:r>
    </w:p>
    <w:p w:rsidR="00CD49A7" w:rsidRPr="0085722A" w:rsidRDefault="00CD49A7">
      <w:pPr>
        <w:pStyle w:val="JuPara"/>
      </w:pPr>
      <w:r w:rsidRPr="0085722A">
        <w:t xml:space="preserve">Having deliberated in private on </w:t>
      </w:r>
      <w:r w:rsidR="00A42E1B" w:rsidRPr="0085722A">
        <w:t>3 May and 28 June 2005</w:t>
      </w:r>
      <w:r w:rsidRPr="0085722A">
        <w:t>,</w:t>
      </w:r>
    </w:p>
    <w:p w:rsidR="00CD49A7" w:rsidRPr="0085722A" w:rsidRDefault="00CD49A7">
      <w:pPr>
        <w:pStyle w:val="JuPara"/>
      </w:pPr>
      <w:r w:rsidRPr="0085722A">
        <w:t>Delivers the following jud</w:t>
      </w:r>
      <w:r w:rsidR="00D015AA">
        <w:t>gment, which was adopted on the last-</w:t>
      </w:r>
      <w:r w:rsidRPr="0085722A">
        <w:t>mentioned date:</w:t>
      </w:r>
    </w:p>
    <w:p w:rsidR="00CD49A7" w:rsidRPr="0085722A" w:rsidRDefault="00CD49A7">
      <w:pPr>
        <w:pStyle w:val="JuHHead"/>
      </w:pPr>
      <w:r w:rsidRPr="0085722A">
        <w:t>PROCEDURE</w:t>
      </w:r>
    </w:p>
    <w:p w:rsidR="00C63C92" w:rsidRDefault="00FC2966" w:rsidP="00085109">
      <w:pPr>
        <w:pStyle w:val="JuPara"/>
      </w:pPr>
      <w:r w:rsidRPr="0085722A">
        <w:fldChar w:fldCharType="begin"/>
      </w:r>
      <w:r w:rsidRPr="0085722A">
        <w:instrText xml:space="preserve"> SEQ level0 \*arabic </w:instrText>
      </w:r>
      <w:r w:rsidRPr="0085722A">
        <w:fldChar w:fldCharType="separate"/>
      </w:r>
      <w:r w:rsidR="00E97C1C">
        <w:rPr>
          <w:noProof/>
        </w:rPr>
        <w:t>1</w:t>
      </w:r>
      <w:r w:rsidRPr="0085722A">
        <w:fldChar w:fldCharType="end"/>
      </w:r>
      <w:r w:rsidR="00CD49A7" w:rsidRPr="0085722A">
        <w:t xml:space="preserve">.  The case originated in </w:t>
      </w:r>
      <w:r w:rsidRPr="0085722A">
        <w:t>an application (no. 73316/01)</w:t>
      </w:r>
      <w:r w:rsidR="00CD49A7" w:rsidRPr="0085722A">
        <w:t xml:space="preserve"> against </w:t>
      </w:r>
      <w:r w:rsidRPr="0085722A">
        <w:t xml:space="preserve">the </w:t>
      </w:r>
      <w:smartTag w:uri="urn:schemas-microsoft-com:office:smarttags" w:element="place">
        <w:smartTag w:uri="urn:schemas-microsoft-com:office:smarttags" w:element="PlaceName">
          <w:r w:rsidRPr="0085722A">
            <w:t>French</w:t>
          </w:r>
        </w:smartTag>
        <w:r w:rsidRPr="0085722A">
          <w:t xml:space="preserve"> </w:t>
        </w:r>
        <w:smartTag w:uri="urn:schemas-microsoft-com:office:smarttags" w:element="PlaceType">
          <w:r w:rsidRPr="0085722A">
            <w:t>Republic</w:t>
          </w:r>
        </w:smartTag>
      </w:smartTag>
      <w:r w:rsidR="00CD49A7" w:rsidRPr="0085722A">
        <w:t xml:space="preserve"> lodged with the </w:t>
      </w:r>
      <w:r w:rsidRPr="0085722A">
        <w:t>Court under Article 34</w:t>
      </w:r>
      <w:r w:rsidR="00CD49A7" w:rsidRPr="0085722A">
        <w:t xml:space="preserve"> of the Convention for the Protection of Human Rights and Fundamental Freedoms (“the Convention”) by</w:t>
      </w:r>
      <w:r w:rsidR="0020132B" w:rsidRPr="0085722A">
        <w:t xml:space="preserve"> </w:t>
      </w:r>
      <w:r w:rsidR="00C54F03" w:rsidRPr="0085722A">
        <w:t xml:space="preserve">a Togolese national, </w:t>
      </w:r>
      <w:r w:rsidR="0020132B" w:rsidRPr="0085722A">
        <w:t>Ms Siwa-Akofa Siliadin (“the applicant”)</w:t>
      </w:r>
      <w:r w:rsidR="00C54F03" w:rsidRPr="0085722A">
        <w:t>,</w:t>
      </w:r>
      <w:r w:rsidR="0020132B" w:rsidRPr="0085722A">
        <w:t xml:space="preserve"> on </w:t>
      </w:r>
      <w:smartTag w:uri="urn:schemas-microsoft-com:office:smarttags" w:element="date">
        <w:smartTagPr>
          <w:attr w:name="Month" w:val="4"/>
          <w:attr w:name="Day" w:val="17"/>
          <w:attr w:name="Year" w:val="2001"/>
        </w:smartTagPr>
        <w:r w:rsidR="0020132B" w:rsidRPr="0085722A">
          <w:t>17 April 2001</w:t>
        </w:r>
      </w:smartTag>
      <w:r w:rsidR="00CD49A7" w:rsidRPr="0085722A">
        <w:t>.</w:t>
      </w:r>
    </w:p>
    <w:p w:rsidR="00C63C92" w:rsidRDefault="00FC2966">
      <w:pPr>
        <w:pStyle w:val="JuPara"/>
      </w:pPr>
      <w:r w:rsidRPr="0085722A">
        <w:fldChar w:fldCharType="begin"/>
      </w:r>
      <w:r w:rsidRPr="0085722A">
        <w:instrText xml:space="preserve"> SEQ level0 \*arabic </w:instrText>
      </w:r>
      <w:r w:rsidRPr="0085722A">
        <w:fldChar w:fldCharType="separate"/>
      </w:r>
      <w:r w:rsidR="00E97C1C">
        <w:rPr>
          <w:noProof/>
        </w:rPr>
        <w:t>2</w:t>
      </w:r>
      <w:r w:rsidRPr="0085722A">
        <w:fldChar w:fldCharType="end"/>
      </w:r>
      <w:r w:rsidR="00CD49A7" w:rsidRPr="0085722A">
        <w:t>.  </w:t>
      </w:r>
      <w:r w:rsidR="0020132B" w:rsidRPr="0085722A">
        <w:t>The applicant, who had been granted legal aid, was represented b</w:t>
      </w:r>
      <w:r w:rsidR="00D015AA">
        <w:t>y Ms </w:t>
      </w:r>
      <w:r w:rsidR="0020132B" w:rsidRPr="0085722A">
        <w:t>H. Clément, of the Paris Bar. The French Government (“the Government”) were repres</w:t>
      </w:r>
      <w:r w:rsidR="00D015AA">
        <w:t>ented by their Agent, Mrs E.</w:t>
      </w:r>
      <w:r w:rsidR="0020132B" w:rsidRPr="0085722A">
        <w:t xml:space="preserve"> Belliard, </w:t>
      </w:r>
      <w:r w:rsidR="005F5E90">
        <w:t>Director</w:t>
      </w:r>
      <w:r w:rsidR="0020132B" w:rsidRPr="0085722A">
        <w:t xml:space="preserve"> of Legal Affairs</w:t>
      </w:r>
      <w:r w:rsidR="00C54F03" w:rsidRPr="0085722A">
        <w:t xml:space="preserve"> at the </w:t>
      </w:r>
      <w:r w:rsidR="0020132B" w:rsidRPr="0085722A">
        <w:t>Ministry of Foreign Affairs.</w:t>
      </w:r>
    </w:p>
    <w:p w:rsidR="00CD49A7" w:rsidRPr="0085722A" w:rsidRDefault="00FC2966">
      <w:pPr>
        <w:pStyle w:val="JuPara"/>
      </w:pPr>
      <w:r w:rsidRPr="0085722A">
        <w:fldChar w:fldCharType="begin"/>
      </w:r>
      <w:r w:rsidRPr="0085722A">
        <w:instrText xml:space="preserve"> SEQ level0 \*arabic </w:instrText>
      </w:r>
      <w:r w:rsidRPr="0085722A">
        <w:fldChar w:fldCharType="separate"/>
      </w:r>
      <w:r w:rsidR="00E97C1C">
        <w:rPr>
          <w:noProof/>
        </w:rPr>
        <w:t>3</w:t>
      </w:r>
      <w:r w:rsidRPr="0085722A">
        <w:fldChar w:fldCharType="end"/>
      </w:r>
      <w:r w:rsidR="00CD49A7" w:rsidRPr="0085722A">
        <w:t>.  </w:t>
      </w:r>
      <w:r w:rsidR="00356FF5" w:rsidRPr="0085722A">
        <w:t>Relying on Article 4 of the Convention, t</w:t>
      </w:r>
      <w:r w:rsidR="00CD49A7" w:rsidRPr="0085722A">
        <w:t xml:space="preserve">he </w:t>
      </w:r>
      <w:r w:rsidRPr="0085722A">
        <w:t>applicant</w:t>
      </w:r>
      <w:r w:rsidR="00CD49A7" w:rsidRPr="0085722A">
        <w:t xml:space="preserve"> alleged</w:t>
      </w:r>
      <w:r w:rsidR="0020132B" w:rsidRPr="0085722A">
        <w:t xml:space="preserve"> </w:t>
      </w:r>
      <w:r w:rsidR="00356FF5" w:rsidRPr="0085722A">
        <w:t xml:space="preserve">that the criminal-law provisions applicable in France did not afford her sufficient and effective protection against the “servitude” in which she had been held, or at the very least against the “forced </w:t>
      </w:r>
      <w:r w:rsidR="005F5E90">
        <w:t>or</w:t>
      </w:r>
      <w:r w:rsidR="005F5E90" w:rsidRPr="0085722A">
        <w:t xml:space="preserve"> </w:t>
      </w:r>
      <w:r w:rsidR="00356FF5" w:rsidRPr="0085722A">
        <w:t>compulsory” labour she had been required to perform</w:t>
      </w:r>
      <w:r w:rsidR="0020132B" w:rsidRPr="0085722A">
        <w:t>.</w:t>
      </w:r>
    </w:p>
    <w:p w:rsidR="00C63C92" w:rsidRDefault="00FC2966">
      <w:pPr>
        <w:pStyle w:val="JuPara"/>
      </w:pPr>
      <w:r w:rsidRPr="0085722A">
        <w:fldChar w:fldCharType="begin"/>
      </w:r>
      <w:r w:rsidRPr="0085722A">
        <w:instrText xml:space="preserve"> SEQ level0 \*arabic </w:instrText>
      </w:r>
      <w:r w:rsidRPr="0085722A">
        <w:fldChar w:fldCharType="separate"/>
      </w:r>
      <w:r w:rsidR="00E97C1C">
        <w:rPr>
          <w:noProof/>
        </w:rPr>
        <w:t>4</w:t>
      </w:r>
      <w:r w:rsidRPr="0085722A">
        <w:fldChar w:fldCharType="end"/>
      </w:r>
      <w:r w:rsidR="00CD49A7" w:rsidRPr="0085722A">
        <w:t xml:space="preserve">.  The </w:t>
      </w:r>
      <w:r w:rsidRPr="0085722A">
        <w:t>application was</w:t>
      </w:r>
      <w:r w:rsidR="00CD49A7" w:rsidRPr="0085722A">
        <w:t xml:space="preserve"> allocated to the </w:t>
      </w:r>
      <w:r w:rsidRPr="0085722A">
        <w:t>Second Section</w:t>
      </w:r>
      <w:r w:rsidR="0076696D">
        <w:t xml:space="preserve"> of the Court (Rule 52 § </w:t>
      </w:r>
      <w:r w:rsidR="00CD49A7" w:rsidRPr="0085722A">
        <w:t xml:space="preserve">1 of the Rules of Court). </w:t>
      </w:r>
      <w:r w:rsidRPr="0085722A">
        <w:t>Within that Section, the Chamber that would consider the case (Article 27 § 1 of the Convention) was constituted as provided in Rule 26 § 1.</w:t>
      </w:r>
    </w:p>
    <w:p w:rsidR="00C63C92" w:rsidRDefault="00FC2966">
      <w:pPr>
        <w:pStyle w:val="JuPara"/>
      </w:pPr>
      <w:r w:rsidRPr="0085722A">
        <w:fldChar w:fldCharType="begin"/>
      </w:r>
      <w:r w:rsidRPr="0085722A">
        <w:instrText xml:space="preserve"> SEQ level0 \*arabic </w:instrText>
      </w:r>
      <w:r w:rsidRPr="0085722A">
        <w:fldChar w:fldCharType="separate"/>
      </w:r>
      <w:r w:rsidR="00E97C1C">
        <w:rPr>
          <w:noProof/>
        </w:rPr>
        <w:t>5</w:t>
      </w:r>
      <w:r w:rsidRPr="0085722A">
        <w:fldChar w:fldCharType="end"/>
      </w:r>
      <w:r w:rsidR="00CD49A7" w:rsidRPr="0085722A">
        <w:t>.  </w:t>
      </w:r>
      <w:r w:rsidR="00111A21" w:rsidRPr="0085722A">
        <w:t xml:space="preserve">On </w:t>
      </w:r>
      <w:smartTag w:uri="urn:schemas-microsoft-com:office:smarttags" w:element="date">
        <w:smartTagPr>
          <w:attr w:name="Month" w:val="11"/>
          <w:attr w:name="Day" w:val="1"/>
          <w:attr w:name="Year" w:val="2004"/>
        </w:smartTagPr>
        <w:r w:rsidR="00111A21" w:rsidRPr="0085722A">
          <w:t>1 November 2004</w:t>
        </w:r>
      </w:smartTag>
      <w:r w:rsidR="00111A21" w:rsidRPr="0085722A">
        <w:t xml:space="preserve"> the Court changed the composition of its Sections (Rule 25 § 1). This case was assigned to the newly composed Second Section (Rule 52 § 1).</w:t>
      </w:r>
    </w:p>
    <w:p w:rsidR="00CD49A7" w:rsidRPr="0085722A" w:rsidRDefault="00FC2966">
      <w:pPr>
        <w:pStyle w:val="JuPara"/>
      </w:pPr>
      <w:r w:rsidRPr="0085722A">
        <w:fldChar w:fldCharType="begin"/>
      </w:r>
      <w:r w:rsidRPr="0085722A">
        <w:instrText xml:space="preserve"> SEQ level0 \*arabic </w:instrText>
      </w:r>
      <w:r w:rsidRPr="0085722A">
        <w:fldChar w:fldCharType="separate"/>
      </w:r>
      <w:r w:rsidR="00E97C1C">
        <w:rPr>
          <w:noProof/>
        </w:rPr>
        <w:t>6</w:t>
      </w:r>
      <w:r w:rsidRPr="0085722A">
        <w:fldChar w:fldCharType="end"/>
      </w:r>
      <w:r w:rsidRPr="0085722A">
        <w:t>.  By a decision of 1 February 2005</w:t>
      </w:r>
      <w:r w:rsidR="00BA4F6F" w:rsidRPr="0085722A">
        <w:t xml:space="preserve">, </w:t>
      </w:r>
      <w:r w:rsidRPr="0085722A">
        <w:t>the C</w:t>
      </w:r>
      <w:r w:rsidR="00D015AA">
        <w:t>hamber</w:t>
      </w:r>
      <w:r w:rsidRPr="0085722A">
        <w:t xml:space="preserve"> declared the application admissible.</w:t>
      </w:r>
    </w:p>
    <w:p w:rsidR="00C63C92" w:rsidRDefault="00FC2966">
      <w:pPr>
        <w:pStyle w:val="JuPara"/>
      </w:pPr>
      <w:r w:rsidRPr="0085722A">
        <w:fldChar w:fldCharType="begin"/>
      </w:r>
      <w:r w:rsidRPr="0085722A">
        <w:instrText xml:space="preserve"> SEQ level0 \*arabic </w:instrText>
      </w:r>
      <w:r w:rsidRPr="0085722A">
        <w:fldChar w:fldCharType="separate"/>
      </w:r>
      <w:r w:rsidR="00E97C1C">
        <w:rPr>
          <w:noProof/>
        </w:rPr>
        <w:t>7</w:t>
      </w:r>
      <w:r w:rsidRPr="0085722A">
        <w:fldChar w:fldCharType="end"/>
      </w:r>
      <w:r w:rsidR="00CD49A7" w:rsidRPr="0085722A">
        <w:t xml:space="preserve">.  The </w:t>
      </w:r>
      <w:r w:rsidRPr="0085722A">
        <w:t>applicant</w:t>
      </w:r>
      <w:r w:rsidR="00CD49A7" w:rsidRPr="0085722A">
        <w:t xml:space="preserve"> and the Government each filed </w:t>
      </w:r>
      <w:r w:rsidRPr="0085722A">
        <w:t>observations on the merits (Rule 59 § 1).</w:t>
      </w:r>
    </w:p>
    <w:p w:rsidR="00C63C92" w:rsidRDefault="00FC2966" w:rsidP="00676C5D">
      <w:pPr>
        <w:pStyle w:val="JuPara"/>
      </w:pPr>
      <w:r w:rsidRPr="0085722A">
        <w:lastRenderedPageBreak/>
        <w:fldChar w:fldCharType="begin"/>
      </w:r>
      <w:r w:rsidRPr="0085722A">
        <w:instrText xml:space="preserve"> SEQ level0 \*arabic </w:instrText>
      </w:r>
      <w:r w:rsidRPr="0085722A">
        <w:fldChar w:fldCharType="separate"/>
      </w:r>
      <w:r w:rsidR="00E97C1C">
        <w:rPr>
          <w:noProof/>
        </w:rPr>
        <w:t>8</w:t>
      </w:r>
      <w:r w:rsidRPr="0085722A">
        <w:fldChar w:fldCharType="end"/>
      </w:r>
      <w:r w:rsidRPr="0085722A">
        <w:t>.  </w:t>
      </w:r>
      <w:r w:rsidR="00676C5D" w:rsidRPr="0085722A">
        <w:t xml:space="preserve">A hearing took place in public in the </w:t>
      </w:r>
      <w:smartTag w:uri="urn:schemas-microsoft-com:office:smarttags" w:element="PlaceName">
        <w:r w:rsidR="00676C5D" w:rsidRPr="0085722A">
          <w:t>Human</w:t>
        </w:r>
      </w:smartTag>
      <w:r w:rsidR="00676C5D" w:rsidRPr="0085722A">
        <w:t xml:space="preserve"> </w:t>
      </w:r>
      <w:smartTag w:uri="urn:schemas-microsoft-com:office:smarttags" w:element="PlaceName">
        <w:r w:rsidR="00676C5D" w:rsidRPr="0085722A">
          <w:t>Rights</w:t>
        </w:r>
      </w:smartTag>
      <w:r w:rsidR="00676C5D" w:rsidRPr="0085722A">
        <w:t xml:space="preserve"> </w:t>
      </w:r>
      <w:smartTag w:uri="urn:schemas-microsoft-com:office:smarttags" w:element="PlaceType">
        <w:r w:rsidR="00676C5D" w:rsidRPr="0085722A">
          <w:t>Building</w:t>
        </w:r>
      </w:smartTag>
      <w:r w:rsidR="00676C5D" w:rsidRPr="0085722A">
        <w:t xml:space="preserve">, </w:t>
      </w:r>
      <w:smartTag w:uri="urn:schemas-microsoft-com:office:smarttags" w:element="place">
        <w:smartTag w:uri="urn:schemas-microsoft-com:office:smarttags" w:element="City">
          <w:r w:rsidR="00676C5D" w:rsidRPr="0085722A">
            <w:t>Strasbourg</w:t>
          </w:r>
        </w:smartTag>
      </w:smartTag>
      <w:r w:rsidR="00676C5D" w:rsidRPr="0085722A">
        <w:t xml:space="preserve">, on </w:t>
      </w:r>
      <w:smartTag w:uri="urn:schemas-microsoft-com:office:smarttags" w:element="date">
        <w:smartTagPr>
          <w:attr w:name="Month" w:val="5"/>
          <w:attr w:name="Day" w:val="3"/>
          <w:attr w:name="Year" w:val="2005"/>
        </w:smartTagPr>
        <w:r w:rsidR="00676C5D" w:rsidRPr="0085722A">
          <w:t>3 May 2005</w:t>
        </w:r>
      </w:smartTag>
      <w:r w:rsidR="00676C5D" w:rsidRPr="0085722A">
        <w:t xml:space="preserve"> (Rule 59 § 3).</w:t>
      </w:r>
    </w:p>
    <w:p w:rsidR="00D015AA" w:rsidRPr="0085722A" w:rsidRDefault="00D015AA" w:rsidP="00676C5D">
      <w:pPr>
        <w:pStyle w:val="JuPara"/>
      </w:pPr>
    </w:p>
    <w:p w:rsidR="00676C5D" w:rsidRPr="0085722A" w:rsidRDefault="00676C5D" w:rsidP="00676C5D">
      <w:pPr>
        <w:pStyle w:val="JuPara"/>
        <w:keepNext/>
        <w:keepLines/>
      </w:pPr>
      <w:r w:rsidRPr="0085722A">
        <w:t>There appeared before the Court:</w:t>
      </w:r>
    </w:p>
    <w:p w:rsidR="00676C5D" w:rsidRPr="0085722A" w:rsidRDefault="00676C5D" w:rsidP="00245B8E">
      <w:pPr>
        <w:tabs>
          <w:tab w:val="left" w:pos="567"/>
          <w:tab w:val="left" w:pos="1134"/>
          <w:tab w:val="left" w:pos="1701"/>
          <w:tab w:val="right" w:pos="7440"/>
        </w:tabs>
        <w:rPr>
          <w:i/>
        </w:rPr>
      </w:pPr>
      <w:r w:rsidRPr="0085722A">
        <w:tab/>
      </w:r>
    </w:p>
    <w:p w:rsidR="00CD49A7" w:rsidRPr="0085722A" w:rsidRDefault="00CD49A7" w:rsidP="00EF5B28">
      <w:pPr>
        <w:pStyle w:val="JuCourt"/>
        <w:keepLines/>
        <w:tabs>
          <w:tab w:val="left" w:pos="1418"/>
        </w:tabs>
      </w:pPr>
      <w:r w:rsidRPr="0085722A">
        <w:t>(a)  </w:t>
      </w:r>
      <w:r w:rsidRPr="0085722A">
        <w:rPr>
          <w:i/>
        </w:rPr>
        <w:t>for the Government</w:t>
      </w:r>
      <w:r w:rsidRPr="0085722A">
        <w:br/>
        <w:t>Mrs</w:t>
      </w:r>
      <w:r w:rsidRPr="0085722A">
        <w:tab/>
      </w:r>
      <w:r w:rsidR="00676C5D" w:rsidRPr="0085722A">
        <w:rPr>
          <w:rStyle w:val="JuNames"/>
        </w:rPr>
        <w:t>E. Belliard</w:t>
      </w:r>
      <w:r w:rsidRPr="0085722A">
        <w:t xml:space="preserve">, </w:t>
      </w:r>
      <w:r w:rsidR="005F5E90">
        <w:t xml:space="preserve">Director </w:t>
      </w:r>
      <w:r w:rsidR="00676C5D" w:rsidRPr="0085722A">
        <w:t xml:space="preserve">of Legal Affairs, </w:t>
      </w:r>
      <w:r w:rsidR="00D015AA">
        <w:br/>
      </w:r>
      <w:r w:rsidR="00C63C92">
        <w:t xml:space="preserve">     </w:t>
      </w:r>
      <w:r w:rsidR="00676C5D" w:rsidRPr="0085722A">
        <w:t>Ministry of Foreign Affairs</w:t>
      </w:r>
      <w:r w:rsidRPr="0085722A">
        <w:t>,</w:t>
      </w:r>
      <w:r w:rsidRPr="0085722A">
        <w:tab/>
      </w:r>
      <w:r w:rsidRPr="0085722A">
        <w:rPr>
          <w:i/>
        </w:rPr>
        <w:t>Agent</w:t>
      </w:r>
      <w:r w:rsidRPr="0085722A">
        <w:t>,</w:t>
      </w:r>
      <w:r w:rsidRPr="0085722A">
        <w:br/>
        <w:t>M</w:t>
      </w:r>
      <w:r w:rsidR="00006E32" w:rsidRPr="0085722A">
        <w:t>r</w:t>
      </w:r>
      <w:r w:rsidRPr="0085722A">
        <w:tab/>
      </w:r>
      <w:r w:rsidR="00006E32" w:rsidRPr="0085722A">
        <w:rPr>
          <w:rStyle w:val="JuNames"/>
        </w:rPr>
        <w:t>G. Dutertre</w:t>
      </w:r>
      <w:r w:rsidRPr="0085722A">
        <w:t xml:space="preserve">, </w:t>
      </w:r>
      <w:r w:rsidR="00BF2630" w:rsidRPr="0085722A">
        <w:rPr>
          <w:i/>
        </w:rPr>
        <w:t>magistrat</w:t>
      </w:r>
      <w:r w:rsidR="00BF2630" w:rsidRPr="0085722A">
        <w:t xml:space="preserve"> on secondment </w:t>
      </w:r>
      <w:r w:rsidR="005F5E90">
        <w:t>to the</w:t>
      </w:r>
      <w:r w:rsidR="00D015AA">
        <w:br/>
      </w:r>
      <w:r w:rsidR="00C63C92">
        <w:t xml:space="preserve">     </w:t>
      </w:r>
      <w:r w:rsidR="00D015AA">
        <w:t xml:space="preserve">Human Rights </w:t>
      </w:r>
      <w:r w:rsidR="00BF2630" w:rsidRPr="0085722A">
        <w:t>Division,</w:t>
      </w:r>
      <w:r w:rsidR="00D015AA">
        <w:t xml:space="preserve"> </w:t>
      </w:r>
      <w:r w:rsidR="00BF2630" w:rsidRPr="0085722A">
        <w:t>Legal Affairs Department,</w:t>
      </w:r>
      <w:r w:rsidR="00094E42">
        <w:br/>
      </w:r>
      <w:r w:rsidR="00C63C92">
        <w:t xml:space="preserve">     </w:t>
      </w:r>
      <w:r w:rsidR="00BF2630" w:rsidRPr="0085722A">
        <w:t>Ministry of Foreign Affairs</w:t>
      </w:r>
      <w:r w:rsidR="00006E32" w:rsidRPr="0085722A">
        <w:t>,</w:t>
      </w:r>
      <w:r w:rsidRPr="0085722A">
        <w:br/>
        <w:t>M</w:t>
      </w:r>
      <w:r w:rsidR="00006E32" w:rsidRPr="0085722A">
        <w:t xml:space="preserve">rs </w:t>
      </w:r>
      <w:r w:rsidR="00006E32" w:rsidRPr="0085722A">
        <w:tab/>
      </w:r>
      <w:r w:rsidR="00006E32" w:rsidRPr="0085722A">
        <w:rPr>
          <w:rStyle w:val="JuNames"/>
        </w:rPr>
        <w:t>J. Vailhé</w:t>
      </w:r>
      <w:r w:rsidRPr="0085722A">
        <w:t xml:space="preserve">, </w:t>
      </w:r>
      <w:r w:rsidR="007A2F6F" w:rsidRPr="0085722A">
        <w:t xml:space="preserve">Drafting </w:t>
      </w:r>
      <w:r w:rsidR="00460FA6" w:rsidRPr="0085722A">
        <w:t>Secretary</w:t>
      </w:r>
      <w:r w:rsidR="00A35BD7" w:rsidRPr="0085722A">
        <w:t>, Department of European and</w:t>
      </w:r>
      <w:r w:rsidR="00952357">
        <w:br/>
      </w:r>
      <w:r w:rsidR="00C63C92">
        <w:t xml:space="preserve">     </w:t>
      </w:r>
      <w:r w:rsidR="00D015AA">
        <w:t>International</w:t>
      </w:r>
      <w:r w:rsidR="00A35BD7" w:rsidRPr="0085722A">
        <w:t xml:space="preserve"> Affairs, Ministry of Justice</w:t>
      </w:r>
      <w:r w:rsidRPr="0085722A">
        <w:t>,</w:t>
      </w:r>
      <w:r w:rsidRPr="0085722A">
        <w:br/>
        <w:t>M</w:t>
      </w:r>
      <w:r w:rsidR="00006E32" w:rsidRPr="0085722A">
        <w:t>rs</w:t>
      </w:r>
      <w:r w:rsidR="00006E32" w:rsidRPr="0085722A">
        <w:tab/>
      </w:r>
      <w:r w:rsidR="00006E32" w:rsidRPr="0085722A">
        <w:rPr>
          <w:rStyle w:val="JuNames"/>
        </w:rPr>
        <w:t>E. Puren</w:t>
      </w:r>
      <w:r w:rsidRPr="0085722A">
        <w:t xml:space="preserve">, </w:t>
      </w:r>
      <w:r w:rsidR="00BF2630" w:rsidRPr="0085722A">
        <w:t xml:space="preserve">Department of Criminal Affairs </w:t>
      </w:r>
      <w:r w:rsidR="00D015AA">
        <w:br/>
      </w:r>
      <w:r w:rsidR="00C63C92">
        <w:t xml:space="preserve">     </w:t>
      </w:r>
      <w:r w:rsidR="00BF2630" w:rsidRPr="0085722A">
        <w:t>and Pardons, Ministry of Justice</w:t>
      </w:r>
      <w:r w:rsidRPr="0085722A">
        <w:t>,</w:t>
      </w:r>
      <w:r w:rsidRPr="0085722A">
        <w:tab/>
      </w:r>
      <w:r w:rsidR="00006E32" w:rsidRPr="0085722A">
        <w:rPr>
          <w:i/>
        </w:rPr>
        <w:t>Counsel</w:t>
      </w:r>
      <w:r w:rsidRPr="0085722A">
        <w:t>;</w:t>
      </w:r>
    </w:p>
    <w:p w:rsidR="00CD49A7" w:rsidRPr="0085722A" w:rsidRDefault="00CD49A7" w:rsidP="00952357">
      <w:pPr>
        <w:pStyle w:val="JuCourt"/>
        <w:keepLines/>
        <w:tabs>
          <w:tab w:val="left" w:pos="1418"/>
        </w:tabs>
      </w:pPr>
      <w:r w:rsidRPr="0085722A">
        <w:t>(b)  </w:t>
      </w:r>
      <w:r w:rsidRPr="0085722A">
        <w:rPr>
          <w:i/>
        </w:rPr>
        <w:t xml:space="preserve">for the </w:t>
      </w:r>
      <w:r w:rsidR="00FC2966" w:rsidRPr="0085722A">
        <w:rPr>
          <w:i/>
        </w:rPr>
        <w:t>applicant</w:t>
      </w:r>
      <w:r w:rsidRPr="0085722A">
        <w:br/>
        <w:t>Ms</w:t>
      </w:r>
      <w:r w:rsidR="00952357" w:rsidRPr="0085722A">
        <w:t xml:space="preserve"> </w:t>
      </w:r>
      <w:r w:rsidR="00952357" w:rsidRPr="0085722A">
        <w:tab/>
      </w:r>
      <w:r w:rsidR="00676C5D" w:rsidRPr="0085722A">
        <w:rPr>
          <w:rStyle w:val="JuNames"/>
        </w:rPr>
        <w:t xml:space="preserve">H. </w:t>
      </w:r>
      <w:r w:rsidR="00676C5D" w:rsidRPr="0085722A">
        <w:rPr>
          <w:smallCaps/>
        </w:rPr>
        <w:t>Clément</w:t>
      </w:r>
      <w:r w:rsidRPr="0085722A">
        <w:t xml:space="preserve">, </w:t>
      </w:r>
      <w:r w:rsidR="00676C5D" w:rsidRPr="0085722A">
        <w:t>of the Paris Bar</w:t>
      </w:r>
      <w:r w:rsidRPr="0085722A">
        <w:t>,</w:t>
      </w:r>
      <w:r w:rsidRPr="0085722A">
        <w:tab/>
      </w:r>
      <w:r w:rsidRPr="0085722A">
        <w:rPr>
          <w:i/>
        </w:rPr>
        <w:t>Counsel</w:t>
      </w:r>
      <w:r w:rsidRPr="0085722A">
        <w:t>,</w:t>
      </w:r>
      <w:r w:rsidRPr="0085722A">
        <w:br/>
      </w:r>
      <w:r w:rsidR="00676C5D" w:rsidRPr="0085722A">
        <w:t>Ms</w:t>
      </w:r>
      <w:r w:rsidR="00952357" w:rsidRPr="0085722A">
        <w:tab/>
      </w:r>
      <w:r w:rsidR="00676C5D" w:rsidRPr="0085722A">
        <w:rPr>
          <w:smallCaps/>
        </w:rPr>
        <w:t>B.</w:t>
      </w:r>
      <w:r w:rsidR="00D015AA">
        <w:rPr>
          <w:smallCaps/>
        </w:rPr>
        <w:t xml:space="preserve"> </w:t>
      </w:r>
      <w:r w:rsidR="00676C5D" w:rsidRPr="0085722A">
        <w:rPr>
          <w:smallCaps/>
        </w:rPr>
        <w:t>Bourgeois</w:t>
      </w:r>
      <w:r w:rsidR="00D015AA">
        <w:t xml:space="preserve">, lawyer for </w:t>
      </w:r>
      <w:r w:rsidR="005F5E90">
        <w:t>the Committee</w:t>
      </w:r>
      <w:r w:rsidR="00D015AA">
        <w:br/>
      </w:r>
      <w:r w:rsidR="00C63C92">
        <w:t xml:space="preserve">     </w:t>
      </w:r>
      <w:r w:rsidR="00676C5D" w:rsidRPr="0085722A">
        <w:t>against Modern Slavery</w:t>
      </w:r>
      <w:r w:rsidR="00094E42">
        <w:t>,</w:t>
      </w:r>
      <w:r w:rsidR="00D015AA">
        <w:tab/>
      </w:r>
      <w:r w:rsidR="00C63C92">
        <w:t xml:space="preserve">    </w:t>
      </w:r>
      <w:r w:rsidR="00D015AA" w:rsidRPr="00D015AA">
        <w:rPr>
          <w:i/>
        </w:rPr>
        <w:t>Assistant.</w:t>
      </w:r>
    </w:p>
    <w:p w:rsidR="00CD49A7" w:rsidRPr="0085722A" w:rsidRDefault="00CD49A7">
      <w:pPr>
        <w:pStyle w:val="JuPara"/>
      </w:pPr>
    </w:p>
    <w:p w:rsidR="00CD49A7" w:rsidRPr="0085722A" w:rsidRDefault="00CD49A7">
      <w:pPr>
        <w:pStyle w:val="JuPara"/>
      </w:pPr>
      <w:r w:rsidRPr="0085722A">
        <w:t xml:space="preserve">The Court heard addresses by </w:t>
      </w:r>
      <w:r w:rsidR="00676C5D" w:rsidRPr="0085722A">
        <w:t xml:space="preserve">Mrs Belliard and Ms </w:t>
      </w:r>
      <w:r w:rsidR="00676C5D" w:rsidRPr="0085722A">
        <w:rPr>
          <w:rFonts w:ascii="Times New (W1)" w:hAnsi="Times New (W1)"/>
          <w:szCs w:val="24"/>
        </w:rPr>
        <w:t>Clément</w:t>
      </w:r>
      <w:r w:rsidRPr="0085722A">
        <w:t>.</w:t>
      </w:r>
    </w:p>
    <w:p w:rsidR="00CD49A7" w:rsidRPr="0085722A" w:rsidRDefault="00CD49A7" w:rsidP="00F92A55">
      <w:pPr>
        <w:pStyle w:val="JuHHead"/>
      </w:pPr>
      <w:r w:rsidRPr="0085722A">
        <w:t>THE FACTS</w:t>
      </w:r>
    </w:p>
    <w:p w:rsidR="00CD49A7" w:rsidRPr="0085722A" w:rsidRDefault="00CD49A7" w:rsidP="00F92A55">
      <w:pPr>
        <w:pStyle w:val="JuHIRoman"/>
      </w:pPr>
      <w:r w:rsidRPr="0085722A">
        <w:t>I.  THE CIRCUMSTANCES OF THE CASE</w:t>
      </w:r>
    </w:p>
    <w:p w:rsidR="00CD49A7" w:rsidRPr="0085722A" w:rsidRDefault="007A2F6F" w:rsidP="00F92A55">
      <w:pPr>
        <w:pStyle w:val="JuPara"/>
        <w:keepNext/>
        <w:keepLines/>
      </w:pPr>
      <w:r w:rsidRPr="0085722A">
        <w:fldChar w:fldCharType="begin"/>
      </w:r>
      <w:r w:rsidRPr="0085722A">
        <w:instrText xml:space="preserve"> SEQ level0 \*arabic </w:instrText>
      </w:r>
      <w:r w:rsidRPr="0085722A">
        <w:fldChar w:fldCharType="separate"/>
      </w:r>
      <w:r w:rsidR="00E97C1C">
        <w:rPr>
          <w:noProof/>
        </w:rPr>
        <w:t>9</w:t>
      </w:r>
      <w:r w:rsidRPr="0085722A">
        <w:fldChar w:fldCharType="end"/>
      </w:r>
      <w:r w:rsidRPr="0085722A">
        <w:t>.  </w:t>
      </w:r>
      <w:r w:rsidR="00CD49A7" w:rsidRPr="0085722A">
        <w:t xml:space="preserve">The </w:t>
      </w:r>
      <w:r w:rsidR="00FC2966" w:rsidRPr="0085722A">
        <w:t>applicant was born in 1978 and lives</w:t>
      </w:r>
      <w:r w:rsidR="00CD49A7" w:rsidRPr="0085722A">
        <w:t xml:space="preserve"> in </w:t>
      </w:r>
      <w:smartTag w:uri="urn:schemas-microsoft-com:office:smarttags" w:element="place">
        <w:smartTag w:uri="urn:schemas-microsoft-com:office:smarttags" w:element="City">
          <w:r w:rsidR="00FC2966" w:rsidRPr="0085722A">
            <w:t>P</w:t>
          </w:r>
          <w:r w:rsidRPr="0085722A">
            <w:t>aris</w:t>
          </w:r>
        </w:smartTag>
      </w:smartTag>
      <w:r w:rsidR="00CD49A7" w:rsidRPr="0085722A">
        <w:t>.</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10</w:t>
      </w:r>
      <w:r w:rsidRPr="0085722A">
        <w:fldChar w:fldCharType="end"/>
      </w:r>
      <w:r w:rsidRPr="0085722A">
        <w:t xml:space="preserve">.  She arrived in </w:t>
      </w:r>
      <w:smartTag w:uri="urn:schemas-microsoft-com:office:smarttags" w:element="place">
        <w:smartTag w:uri="urn:schemas-microsoft-com:office:smarttags" w:element="country-region">
          <w:r w:rsidRPr="0085722A">
            <w:t>France</w:t>
          </w:r>
        </w:smartTag>
      </w:smartTag>
      <w:r w:rsidRPr="0085722A">
        <w:t xml:space="preserve"> on </w:t>
      </w:r>
      <w:smartTag w:uri="urn:schemas-microsoft-com:office:smarttags" w:element="date">
        <w:smartTagPr>
          <w:attr w:name="Month" w:val="1"/>
          <w:attr w:name="Day" w:val="26"/>
          <w:attr w:name="Year" w:val="1994"/>
        </w:smartTagPr>
        <w:r w:rsidRPr="0085722A">
          <w:t>26 January 1994</w:t>
        </w:r>
      </w:smartTag>
      <w:r w:rsidR="00952357">
        <w:t>, aged 15</w:t>
      </w:r>
      <w:r w:rsidRPr="0085722A">
        <w:t xml:space="preserve"> years and </w:t>
      </w:r>
      <w:r w:rsidR="00952357">
        <w:t>7</w:t>
      </w:r>
      <w:r w:rsidRPr="0085722A">
        <w:t xml:space="preserve"> months, with Mrs D., a French national of Togolese origin. She had a passport and a tourist visa.</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11</w:t>
      </w:r>
      <w:r w:rsidRPr="0085722A">
        <w:fldChar w:fldCharType="end"/>
      </w:r>
      <w:r w:rsidRPr="0085722A">
        <w:t>.  It had been agreed that she would work at Mrs D.</w:t>
      </w:r>
      <w:r w:rsidR="00C63C92">
        <w:t>'</w:t>
      </w:r>
      <w:r w:rsidRPr="0085722A">
        <w:t>s home until the cost of her air ticket had been reimbursed and that Mrs D. would attend to her immigration status and find her a place at school. In reality, the applicant became an unpaid housemaid for Mr and Mrs D. and her passport was taken from her.</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12</w:t>
      </w:r>
      <w:r w:rsidRPr="0085722A">
        <w:fldChar w:fldCharType="end"/>
      </w:r>
      <w:r w:rsidRPr="0085722A">
        <w:t>.  In the second half of 1994</w:t>
      </w:r>
      <w:r w:rsidR="00952357">
        <w:t>,</w:t>
      </w:r>
      <w:r w:rsidRPr="0085722A">
        <w:t xml:space="preserve"> Mrs D. “lent” the applicant to Mr and Mrs B., who had two small children, so that she could assist the pregnant Mrs B. with household work. Mrs B. also had another daughter from a first marriage who stayed with her during the holidays and at weekends. The applicant lived at Mr and Mrs B.</w:t>
      </w:r>
      <w:r w:rsidR="00C63C92">
        <w:t>'</w:t>
      </w:r>
      <w:r w:rsidRPr="0085722A">
        <w:t>s home, her father having given his consent.</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13</w:t>
      </w:r>
      <w:r w:rsidRPr="0085722A">
        <w:fldChar w:fldCharType="end"/>
      </w:r>
      <w:r w:rsidRPr="0085722A">
        <w:t>.  On her return from the maternity hospital, Mrs B. told the applicant that she had decided to keep her.</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14</w:t>
      </w:r>
      <w:r w:rsidRPr="0085722A">
        <w:fldChar w:fldCharType="end"/>
      </w:r>
      <w:r w:rsidRPr="0085722A">
        <w:t>.  The applicant subsequently became a</w:t>
      </w:r>
      <w:r w:rsidR="00C54F03" w:rsidRPr="0085722A">
        <w:t xml:space="preserve"> general housemaid</w:t>
      </w:r>
      <w:r w:rsidRPr="0085722A">
        <w:t xml:space="preserve"> for Mr and Mrs B. She worked seven days a week, without a day off, and was occasionally and exceptionally authorised to go out on Sundays to attend mass. Her working day began at </w:t>
      </w:r>
      <w:smartTag w:uri="urn:schemas-microsoft-com:office:smarttags" w:element="time">
        <w:smartTagPr>
          <w:attr w:name="Hour" w:val="7"/>
          <w:attr w:name="Minute" w:val="30"/>
        </w:smartTagPr>
        <w:r w:rsidRPr="0085722A">
          <w:t>7.30 a</w:t>
        </w:r>
        <w:r w:rsidR="00952357">
          <w:t>.</w:t>
        </w:r>
        <w:r w:rsidRPr="0085722A">
          <w:t>m</w:t>
        </w:r>
        <w:r w:rsidR="00952357">
          <w:t>.</w:t>
        </w:r>
      </w:smartTag>
      <w:r w:rsidRPr="0085722A">
        <w:t>, when she had to get up and prepare breakfast, dress the children, take them to nursery school or their recreational activities, look after the baby, do the housework and wash and iron clothes.</w:t>
      </w:r>
    </w:p>
    <w:p w:rsidR="007A2F6F" w:rsidRPr="0085722A" w:rsidRDefault="007A2F6F" w:rsidP="007A2F6F">
      <w:pPr>
        <w:pStyle w:val="JuPara"/>
      </w:pPr>
      <w:r w:rsidRPr="0085722A">
        <w:t xml:space="preserve">In the evening she prepared dinner, looked after the older children, did the washing up and went to bed at about </w:t>
      </w:r>
      <w:smartTag w:uri="urn:schemas-microsoft-com:office:smarttags" w:element="time">
        <w:smartTagPr>
          <w:attr w:name="Hour" w:val="22"/>
          <w:attr w:name="Minute" w:val="30"/>
        </w:smartTagPr>
        <w:r w:rsidRPr="0085722A">
          <w:t>10.30 p</w:t>
        </w:r>
        <w:r w:rsidR="00952357">
          <w:t>.</w:t>
        </w:r>
        <w:r w:rsidRPr="0085722A">
          <w:t>m.</w:t>
        </w:r>
      </w:smartTag>
      <w:r w:rsidRPr="0085722A">
        <w:t xml:space="preserve"> In addition, she had to clean a studio flat, in the same building, which Mr B. had made into an office.</w:t>
      </w:r>
    </w:p>
    <w:p w:rsidR="007A2F6F" w:rsidRPr="0085722A" w:rsidRDefault="007A2F6F" w:rsidP="007A2F6F">
      <w:pPr>
        <w:pStyle w:val="JuPara"/>
      </w:pPr>
      <w:r w:rsidRPr="0085722A">
        <w:t>The applicant slept on a mattress on the floor in the baby</w:t>
      </w:r>
      <w:r w:rsidR="00C63C92">
        <w:t>'</w:t>
      </w:r>
      <w:r w:rsidRPr="0085722A">
        <w:t>s room; she had to look after him if he woke up.</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15</w:t>
      </w:r>
      <w:r w:rsidRPr="0085722A">
        <w:fldChar w:fldCharType="end"/>
      </w:r>
      <w:r w:rsidRPr="0085722A">
        <w:t>.  She was never paid, except by Mrs B.</w:t>
      </w:r>
      <w:r w:rsidR="00C63C92">
        <w:t>'</w:t>
      </w:r>
      <w:r w:rsidR="00094E42">
        <w:t>s</w:t>
      </w:r>
      <w:r w:rsidRPr="0085722A">
        <w:t xml:space="preserve"> </w:t>
      </w:r>
      <w:r w:rsidR="00094E42">
        <w:t>mother</w:t>
      </w:r>
      <w:r w:rsidRPr="0085722A">
        <w:t xml:space="preserve">, who gave her one or two 500 </w:t>
      </w:r>
      <w:r w:rsidR="00952357">
        <w:t xml:space="preserve">French </w:t>
      </w:r>
      <w:r w:rsidRPr="0085722A">
        <w:t xml:space="preserve">franc </w:t>
      </w:r>
      <w:r w:rsidR="00952357">
        <w:t xml:space="preserve">(FRF) </w:t>
      </w:r>
      <w:r w:rsidRPr="0085722A">
        <w:t>notes.</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16</w:t>
      </w:r>
      <w:r w:rsidRPr="0085722A">
        <w:fldChar w:fldCharType="end"/>
      </w:r>
      <w:r w:rsidRPr="0085722A">
        <w:t>.  In December 1995 the applicant was able to escape with the help of a Haitian national who took her in for five or six months. She looked after the latter</w:t>
      </w:r>
      <w:r w:rsidR="00C63C92">
        <w:t>'</w:t>
      </w:r>
      <w:r w:rsidRPr="0085722A">
        <w:t>s two children, was given appropriate accommodation and food, an</w:t>
      </w:r>
      <w:r w:rsidR="00952357">
        <w:t xml:space="preserve">d received FRF 2,500 </w:t>
      </w:r>
      <w:r w:rsidRPr="0085722A">
        <w:t>per month.</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17</w:t>
      </w:r>
      <w:r w:rsidRPr="0085722A">
        <w:fldChar w:fldCharType="end"/>
      </w:r>
      <w:r w:rsidRPr="0085722A">
        <w:t>.  Subsequently, in obedience to her paternal uncle, who had been in contact with Mr and Mrs B., she returned to the couple, who had undertaken to put her immigration status in order. However, the situation remained unchanged: the applicant continued to carry out household tasks and look after the couple</w:t>
      </w:r>
      <w:r w:rsidR="00C63C92">
        <w:t>'</w:t>
      </w:r>
      <w:r w:rsidRPr="0085722A">
        <w:t>s children. She slept on a mattress on the floor of the children</w:t>
      </w:r>
      <w:r w:rsidR="00C63C92">
        <w:t>'</w:t>
      </w:r>
      <w:r w:rsidRPr="0085722A">
        <w:t>s bedroom, then on a folding bed, and wore second-hand clothes. Her immigration status had still not been regularised, she was not paid and did not attend school.</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18</w:t>
      </w:r>
      <w:r w:rsidRPr="0085722A">
        <w:fldChar w:fldCharType="end"/>
      </w:r>
      <w:r w:rsidRPr="0085722A">
        <w:t>.  On an unspecified date, the applicant managed to recover her passport, which she entrusted to an acquaintance of Mr and Mrs B. She also confided in a neighbour, who alerted the Committee against Modern Slavery (</w:t>
      </w:r>
      <w:r w:rsidRPr="0085722A">
        <w:rPr>
          <w:i/>
        </w:rPr>
        <w:t>Comité contre l</w:t>
      </w:r>
      <w:r w:rsidR="00C63C92">
        <w:rPr>
          <w:i/>
        </w:rPr>
        <w:t>'</w:t>
      </w:r>
      <w:r w:rsidRPr="0085722A">
        <w:rPr>
          <w:i/>
        </w:rPr>
        <w:t>esclavage moderne</w:t>
      </w:r>
      <w:r w:rsidRPr="0085722A">
        <w:t>), which in turn filed a complaint wi</w:t>
      </w:r>
      <w:r w:rsidR="00952357">
        <w:t>th the prosecutor</w:t>
      </w:r>
      <w:r w:rsidR="00C63C92">
        <w:t>'</w:t>
      </w:r>
      <w:r w:rsidR="00952357">
        <w:t>s office concerning</w:t>
      </w:r>
      <w:r w:rsidRPr="0085722A">
        <w:t xml:space="preserve"> the applicant</w:t>
      </w:r>
      <w:r w:rsidR="00C63C92">
        <w:t>'</w:t>
      </w:r>
      <w:r w:rsidRPr="0085722A">
        <w:t>s case.</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19</w:t>
      </w:r>
      <w:r w:rsidRPr="0085722A">
        <w:fldChar w:fldCharType="end"/>
      </w:r>
      <w:r w:rsidRPr="0085722A">
        <w:t xml:space="preserve">.  On </w:t>
      </w:r>
      <w:smartTag w:uri="urn:schemas-microsoft-com:office:smarttags" w:element="date">
        <w:smartTagPr>
          <w:attr w:name="Month" w:val="7"/>
          <w:attr w:name="Day" w:val="28"/>
          <w:attr w:name="Year" w:val="1998"/>
        </w:smartTagPr>
        <w:r w:rsidRPr="0085722A">
          <w:t>28 July 1998</w:t>
        </w:r>
      </w:smartTag>
      <w:r w:rsidRPr="0085722A">
        <w:t xml:space="preserve"> the police raided Mr and Mrs B.</w:t>
      </w:r>
      <w:r w:rsidR="00C63C92">
        <w:t>'</w:t>
      </w:r>
      <w:r w:rsidRPr="0085722A">
        <w:t>s home.</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20</w:t>
      </w:r>
      <w:r w:rsidRPr="0085722A">
        <w:fldChar w:fldCharType="end"/>
      </w:r>
      <w:r w:rsidRPr="0085722A">
        <w:t>.  The couple were prosecuted on charg</w:t>
      </w:r>
      <w:r w:rsidR="00952357">
        <w:t>es of having obtained from July </w:t>
      </w:r>
      <w:r w:rsidRPr="0085722A">
        <w:t>1995 to July 1998 the performance of services without payment or in exchange for payment that was manifestly disproportionate to the work carried out</w:t>
      </w:r>
      <w:r w:rsidR="00FB6E78" w:rsidRPr="0085722A">
        <w:t>, by taking advantage of that person</w:t>
      </w:r>
      <w:r w:rsidR="00C63C92">
        <w:t>'</w:t>
      </w:r>
      <w:r w:rsidR="00FB6E78" w:rsidRPr="0085722A">
        <w:t xml:space="preserve">s </w:t>
      </w:r>
      <w:r w:rsidRPr="0085722A">
        <w:t>vulnerability or state of dependence; with having subjected an individual to working and living conditions that were incompatible with human dignity by taking advantage of her vulnerability or state of dependence; and with having employed and maintained in their service an alien who was not in possession of a work permit.</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21</w:t>
      </w:r>
      <w:r w:rsidRPr="0085722A">
        <w:fldChar w:fldCharType="end"/>
      </w:r>
      <w:r w:rsidRPr="0085722A">
        <w:t xml:space="preserve">.  On </w:t>
      </w:r>
      <w:smartTag w:uri="urn:schemas-microsoft-com:office:smarttags" w:element="date">
        <w:smartTagPr>
          <w:attr w:name="Month" w:val="6"/>
          <w:attr w:name="Day" w:val="10"/>
          <w:attr w:name="Year" w:val="1999"/>
        </w:smartTagPr>
        <w:r w:rsidRPr="0085722A">
          <w:t>10 June 1999</w:t>
        </w:r>
      </w:smartTag>
      <w:r w:rsidRPr="0085722A">
        <w:t xml:space="preserve"> the </w:t>
      </w:r>
      <w:smartTag w:uri="urn:schemas-microsoft-com:office:smarttags" w:element="place">
        <w:smartTag w:uri="urn:schemas-microsoft-com:office:smarttags" w:element="City">
          <w:r w:rsidRPr="0085722A">
            <w:t>Paris</w:t>
          </w:r>
        </w:smartTag>
      </w:smartTag>
      <w:r w:rsidRPr="0085722A">
        <w:t xml:space="preserve"> </w:t>
      </w:r>
      <w:r w:rsidRPr="0085722A">
        <w:rPr>
          <w:i/>
        </w:rPr>
        <w:t>tribunal de grande instance</w:t>
      </w:r>
      <w:r w:rsidRPr="0085722A">
        <w:t xml:space="preserve"> delivered its judgment.</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22</w:t>
      </w:r>
      <w:r w:rsidRPr="0085722A">
        <w:fldChar w:fldCharType="end"/>
      </w:r>
      <w:r w:rsidRPr="0085722A">
        <w:t>.  It found that the applicant</w:t>
      </w:r>
      <w:r w:rsidR="00C63C92">
        <w:t>'</w:t>
      </w:r>
      <w:r w:rsidRPr="0085722A">
        <w:t>s vulnerability and dependence in her relationship with Mr and Mrs B. was proved by the fact that she was unlawfully resident in France, was aware of that fact and feared arrest, that Mr and Mrs B. nurtured that fear while promising to secure her leave to remain – a claim that was confirmed by her uncle and her father – and by the fact that she had no resources, no friends and almost no family to help her.</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23</w:t>
      </w:r>
      <w:r w:rsidRPr="0085722A">
        <w:fldChar w:fldCharType="end"/>
      </w:r>
      <w:r w:rsidRPr="0085722A">
        <w:t>.  As to the failure to provide any or adequate remuneration, the court noted that it had been established that the young woman had remained with Mr and Mrs B. for several years, was not a member of their family, could not be regarded as a foreign au pair who had to be registered and given free time in order to improve her language skills, was kept busy all day with housework, did not go to school and was not training for a profession and that, had she not been in their service, Mr and Mrs B. would have been obliged to employ another person, given the amount of work created by the presence of four children in the home.</w:t>
      </w:r>
    </w:p>
    <w:p w:rsidR="007A2F6F" w:rsidRPr="0085722A" w:rsidRDefault="007A2F6F" w:rsidP="007A2F6F">
      <w:pPr>
        <w:pStyle w:val="JuPara"/>
      </w:pPr>
      <w:r w:rsidRPr="0085722A">
        <w:t xml:space="preserve">It therefore concluded that the offence </w:t>
      </w:r>
      <w:r w:rsidR="00094E42">
        <w:t>laid down</w:t>
      </w:r>
      <w:r w:rsidRPr="0085722A">
        <w:t xml:space="preserve"> in Article 225-13 of the Crimina</w:t>
      </w:r>
      <w:r w:rsidR="00952357">
        <w:t>l Code (see paragraph</w:t>
      </w:r>
      <w:r w:rsidRPr="0085722A">
        <w:t xml:space="preserve"> 46 below) was </w:t>
      </w:r>
      <w:r w:rsidR="00094E42">
        <w:t>made out</w:t>
      </w:r>
      <w:r w:rsidRPr="0085722A">
        <w:t>.</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24</w:t>
      </w:r>
      <w:r w:rsidRPr="0085722A">
        <w:fldChar w:fldCharType="end"/>
      </w:r>
      <w:r w:rsidRPr="0085722A">
        <w:t>.  The court also found it established that Mr and Mrs B. were employing an alien who was not in possession of a work permit.</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25</w:t>
      </w:r>
      <w:r w:rsidRPr="0085722A">
        <w:fldChar w:fldCharType="end"/>
      </w:r>
      <w:r w:rsidRPr="0085722A">
        <w:t>.  The court noted that the parties had submitted differing accounts concerning the allegations that the working and living conditions were incompatible with human dignity.</w:t>
      </w:r>
    </w:p>
    <w:p w:rsidR="00C63C92" w:rsidRDefault="007A2F6F" w:rsidP="007A2F6F">
      <w:pPr>
        <w:pStyle w:val="JuPara"/>
      </w:pPr>
      <w:r w:rsidRPr="0085722A">
        <w:t>It found that the applicant clearly worked long hours and did not enjoy a day off as such, although she was given permission to attend mass.</w:t>
      </w:r>
      <w:r w:rsidR="00C63C92">
        <w:t xml:space="preserve"> </w:t>
      </w:r>
      <w:r w:rsidRPr="0085722A">
        <w:t>It noted that a person who remained at home with four children necessarily began his or her work early in the morning and finished late at night, but had moments of respite during the day; however, the scale of Mrs B.</w:t>
      </w:r>
      <w:r w:rsidR="00C63C92">
        <w:t>'</w:t>
      </w:r>
      <w:r w:rsidRPr="0085722A">
        <w:t>s involvement in this work had not been established.</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26</w:t>
      </w:r>
      <w:r w:rsidRPr="0085722A">
        <w:fldChar w:fldCharType="end"/>
      </w:r>
      <w:r w:rsidRPr="0085722A">
        <w:t xml:space="preserve">.  The court concluded that, while it seemed established that employment regulations had not been observed in respect of working hours and rest time, this did not suffice to consider that the working conditions were incompatible with human dignity, which would have implied, for example, </w:t>
      </w:r>
      <w:r w:rsidR="00094E42">
        <w:t>a furious pace</w:t>
      </w:r>
      <w:r w:rsidRPr="0085722A">
        <w:t>, frequent insults and harassment, the need for particular physical strength that was disproportionate to the employee</w:t>
      </w:r>
      <w:r w:rsidR="00C63C92">
        <w:t>'</w:t>
      </w:r>
      <w:r w:rsidRPr="0085722A">
        <w:t>s constitution and having to work in unhealthy premises, which had not been the case in this instance.</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27</w:t>
      </w:r>
      <w:r w:rsidRPr="0085722A">
        <w:fldChar w:fldCharType="end"/>
      </w:r>
      <w:r w:rsidRPr="0085722A">
        <w:t>.  As to the applicant</w:t>
      </w:r>
      <w:r w:rsidR="00C63C92">
        <w:t>'</w:t>
      </w:r>
      <w:r w:rsidRPr="0085722A">
        <w:t>s accommodation, the court noted that Mr and Mrs B., who were well-off, had not seen fit to set aside an area for the applicant</w:t>
      </w:r>
      <w:r w:rsidR="00C63C92">
        <w:t>'</w:t>
      </w:r>
      <w:r w:rsidRPr="0085722A">
        <w:t>s personal use and that, although this situation was regrettable and indicated their lack of consideration for her, her living conditions could not be held to infringe human dignity, given that a number of people, especially in the Paris region, did not have their own rooms. Accommodation which infringed human dignity implied an unhygienic, unheated room, with no possibility of looking after one</w:t>
      </w:r>
      <w:r w:rsidR="00C63C92">
        <w:t>'</w:t>
      </w:r>
      <w:r w:rsidRPr="0085722A">
        <w:t>s basic hygiene, or premises which were so far below the applicable norms that occupation would be dangerous.</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28</w:t>
      </w:r>
      <w:r w:rsidRPr="0085722A">
        <w:fldChar w:fldCharType="end"/>
      </w:r>
      <w:r w:rsidRPr="0085722A">
        <w:t xml:space="preserve">.  Accordingly, the court found that the offence </w:t>
      </w:r>
      <w:r w:rsidR="00094E42">
        <w:t>laid down</w:t>
      </w:r>
      <w:r w:rsidRPr="0085722A">
        <w:t xml:space="preserve"> in Article</w:t>
      </w:r>
      <w:r w:rsidR="001B73F7">
        <w:t> </w:t>
      </w:r>
      <w:r w:rsidRPr="0085722A">
        <w:t>225</w:t>
      </w:r>
      <w:r w:rsidR="001B73F7">
        <w:noBreakHyphen/>
      </w:r>
      <w:r w:rsidRPr="0085722A">
        <w:t xml:space="preserve">14 of the Criminal Code </w:t>
      </w:r>
      <w:r w:rsidR="00E330FD">
        <w:t xml:space="preserve">(see paragraph 46 below) </w:t>
      </w:r>
      <w:r w:rsidRPr="0085722A">
        <w:t xml:space="preserve">had not been </w:t>
      </w:r>
      <w:r w:rsidR="00094E42">
        <w:t>made out</w:t>
      </w:r>
      <w:r w:rsidRPr="0085722A">
        <w:t>.</w:t>
      </w:r>
    </w:p>
    <w:p w:rsidR="007A2F6F" w:rsidRPr="0085722A" w:rsidRDefault="007A2F6F" w:rsidP="007A2F6F">
      <w:pPr>
        <w:pStyle w:val="JuPara"/>
      </w:pPr>
      <w:r w:rsidRPr="0085722A">
        <w:t>Nonetheless, the judges concluded that the offences of which Mr and Mrs B. were convicted were incontestably serious and were to be severely punished, particularly as the couple considered that they had treated the applicant quite properly.</w:t>
      </w:r>
    </w:p>
    <w:p w:rsidR="00C63C92" w:rsidRDefault="007A2F6F" w:rsidP="007A2F6F">
      <w:pPr>
        <w:pStyle w:val="JuPara"/>
      </w:pPr>
      <w:r w:rsidRPr="0085722A">
        <w:t>Accordingly, they sentenced them to twelve months</w:t>
      </w:r>
      <w:r w:rsidR="00C63C92">
        <w:t>'</w:t>
      </w:r>
      <w:r w:rsidRPr="0085722A">
        <w:t xml:space="preserve"> imprisonment each, of which seven months were suspended, imposed a fine of FRF 100,000 and ordered them to pay, jointly and severally, FRF 100,000 to the applicant in damages. In addition, Mr and Mrs B. forfeited their civic, civil and family rights for three years.</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29</w:t>
      </w:r>
      <w:r w:rsidRPr="0085722A">
        <w:fldChar w:fldCharType="end"/>
      </w:r>
      <w:r w:rsidRPr="0085722A">
        <w:t>.  Mr and Mrs B. appealed against this decision.</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30</w:t>
      </w:r>
      <w:r w:rsidRPr="0085722A">
        <w:fldChar w:fldCharType="end"/>
      </w:r>
      <w:r w:rsidRPr="0085722A">
        <w:t xml:space="preserve">.  On </w:t>
      </w:r>
      <w:smartTag w:uri="urn:schemas-microsoft-com:office:smarttags" w:element="date">
        <w:smartTagPr>
          <w:attr w:name="Month" w:val="4"/>
          <w:attr w:name="Day" w:val="20"/>
          <w:attr w:name="Year" w:val="2000"/>
        </w:smartTagPr>
        <w:r w:rsidRPr="0085722A">
          <w:t>20 April 2000</w:t>
        </w:r>
      </w:smartTag>
      <w:r w:rsidRPr="0085722A">
        <w:t xml:space="preserve"> the Paris Court of Appeal gave an interlocutory judgment ordering further investigations.</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31</w:t>
      </w:r>
      <w:r w:rsidRPr="0085722A">
        <w:fldChar w:fldCharType="end"/>
      </w:r>
      <w:r w:rsidRPr="0085722A">
        <w:t xml:space="preserve">.  On </w:t>
      </w:r>
      <w:smartTag w:uri="urn:schemas-microsoft-com:office:smarttags" w:element="date">
        <w:smartTagPr>
          <w:attr w:name="Month" w:val="10"/>
          <w:attr w:name="Day" w:val="19"/>
          <w:attr w:name="Year" w:val="2000"/>
        </w:smartTagPr>
        <w:r w:rsidRPr="0085722A">
          <w:t>19 October 2000</w:t>
        </w:r>
      </w:smartTag>
      <w:r w:rsidRPr="0085722A">
        <w:t xml:space="preserve"> it delivered its judgment on the merits.</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32</w:t>
      </w:r>
      <w:r w:rsidRPr="0085722A">
        <w:fldChar w:fldCharType="end"/>
      </w:r>
      <w:r w:rsidRPr="0085722A">
        <w:t>.  The Court of Appeal found that the additional investigation had made it possible to confirm that the applicant ha</w:t>
      </w:r>
      <w:r w:rsidR="00952357">
        <w:t xml:space="preserve">d arrived in </w:t>
      </w:r>
      <w:smartTag w:uri="urn:schemas-microsoft-com:office:smarttags" w:element="place">
        <w:smartTag w:uri="urn:schemas-microsoft-com:office:smarttags" w:element="country-region">
          <w:r w:rsidR="00952357">
            <w:t>France</w:t>
          </w:r>
        </w:smartTag>
      </w:smartTag>
      <w:r w:rsidR="00952357">
        <w:t xml:space="preserve"> aged 15 years and 7</w:t>
      </w:r>
      <w:r w:rsidRPr="0085722A">
        <w:t xml:space="preserve"> months, in possession of a passport and a three-month tourist visa. During the period that she lived with Mrs D., from January to October 1994, she had been employed by the latter, firstly, to do housework, cook and look after her child, and, secondly, in the latter</w:t>
      </w:r>
      <w:r w:rsidR="00C63C92">
        <w:t>'</w:t>
      </w:r>
      <w:r w:rsidRPr="0085722A">
        <w:t>s clothing business, where she also did the cleaning and returned to the rails clothes that customers had tried on, without remuneration.</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33</w:t>
      </w:r>
      <w:r w:rsidRPr="0085722A">
        <w:fldChar w:fldCharType="end"/>
      </w:r>
      <w:r w:rsidRPr="0085722A">
        <w:t>.  </w:t>
      </w:r>
      <w:r w:rsidR="00952357">
        <w:t>Around</w:t>
      </w:r>
      <w:r w:rsidRPr="0085722A">
        <w:t xml:space="preserve"> October 1994 the applicant had spent a few days at Mr and Mrs B.</w:t>
      </w:r>
      <w:r w:rsidR="00C63C92">
        <w:t>'</w:t>
      </w:r>
      <w:r w:rsidRPr="0085722A">
        <w:t xml:space="preserve">s home, shortly before Mrs B. gave birth to her </w:t>
      </w:r>
      <w:r w:rsidR="00E330FD">
        <w:t>fourth</w:t>
      </w:r>
      <w:r w:rsidRPr="0085722A">
        <w:t xml:space="preserve"> child. She travelled by underground to Mr and Mrs B.</w:t>
      </w:r>
      <w:r w:rsidR="00C63C92">
        <w:t>'</w:t>
      </w:r>
      <w:r w:rsidRPr="0085722A">
        <w:t>s home every day and returned to Mrs D.</w:t>
      </w:r>
      <w:r w:rsidR="00C63C92">
        <w:t>'</w:t>
      </w:r>
      <w:r w:rsidRPr="0085722A">
        <w:t>s house in the evening to sleep.</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34</w:t>
      </w:r>
      <w:r w:rsidRPr="0085722A">
        <w:fldChar w:fldCharType="end"/>
      </w:r>
      <w:r w:rsidRPr="0085722A">
        <w:t>.  In July</w:t>
      </w:r>
      <w:r w:rsidR="001B73F7">
        <w:t>/</w:t>
      </w:r>
      <w:r w:rsidRPr="0085722A">
        <w:t>August 199</w:t>
      </w:r>
      <w:r w:rsidR="00665367">
        <w:t>4</w:t>
      </w:r>
      <w:r w:rsidRPr="0085722A">
        <w:t xml:space="preserve"> she was “lent” to Mr and Mrs B., and stayed in their home until December 1995, when she left for Mrs G.</w:t>
      </w:r>
      <w:r w:rsidR="00C63C92">
        <w:t>'</w:t>
      </w:r>
      <w:r w:rsidRPr="0085722A">
        <w:t>s home, where she was remunerated for her work and given accommodation. She had returned to Mr and Mrs B. in May</w:t>
      </w:r>
      <w:r w:rsidR="001B73F7">
        <w:t>/</w:t>
      </w:r>
      <w:r w:rsidRPr="0085722A">
        <w:t>June 1996 on her uncle</w:t>
      </w:r>
      <w:r w:rsidR="00C63C92">
        <w:t>'</w:t>
      </w:r>
      <w:r w:rsidRPr="0085722A">
        <w:t>s advice.</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35</w:t>
      </w:r>
      <w:r w:rsidRPr="0085722A">
        <w:fldChar w:fldCharType="end"/>
      </w:r>
      <w:r w:rsidRPr="0085722A">
        <w:t xml:space="preserve">.  The </w:t>
      </w:r>
      <w:r w:rsidR="00E330FD">
        <w:t>Court of A</w:t>
      </w:r>
      <w:r w:rsidRPr="0085722A">
        <w:t>ppeal noted that it had been established that the applicant was an illegal immigrant and had not received any real remuneration.</w:t>
      </w:r>
    </w:p>
    <w:p w:rsidR="00C63C92" w:rsidRDefault="007A2F6F" w:rsidP="007A2F6F">
      <w:pPr>
        <w:pStyle w:val="JuPara"/>
      </w:pPr>
      <w:r w:rsidRPr="0085722A">
        <w:t>Further, it noted that it appeared that the applicant was proficient in French, which she had learnt in her own country.</w:t>
      </w:r>
    </w:p>
    <w:p w:rsidR="007A2F6F" w:rsidRPr="0085722A" w:rsidRDefault="007A2F6F" w:rsidP="007A2F6F">
      <w:pPr>
        <w:pStyle w:val="JuPara"/>
      </w:pPr>
      <w:r w:rsidRPr="0085722A">
        <w:t>In addition, she had learnt to find her way around Paris in order, initially, to go from Mrs D.</w:t>
      </w:r>
      <w:r w:rsidR="00C63C92">
        <w:t>'</w:t>
      </w:r>
      <w:r w:rsidRPr="0085722A">
        <w:t>s home to the latter</w:t>
      </w:r>
      <w:r w:rsidR="00C63C92">
        <w:t>'</w:t>
      </w:r>
      <w:r w:rsidRPr="0085722A">
        <w:t xml:space="preserve">s business premises, and later to travel to Maisons-Alfort, where Mrs G. lived, and finally to return to </w:t>
      </w:r>
      <w:r w:rsidR="00952357">
        <w:br/>
      </w:r>
      <w:r w:rsidRPr="0085722A">
        <w:t>Mr and Mrs B.</w:t>
      </w:r>
      <w:r w:rsidR="00C63C92">
        <w:t>'</w:t>
      </w:r>
      <w:r w:rsidRPr="0085722A">
        <w:t>s home.</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36</w:t>
      </w:r>
      <w:r w:rsidRPr="0085722A">
        <w:fldChar w:fldCharType="end"/>
      </w:r>
      <w:r w:rsidRPr="0085722A">
        <w:t xml:space="preserve">.  She had </w:t>
      </w:r>
      <w:r w:rsidR="00113022" w:rsidRPr="0085722A">
        <w:t>a degree of independence</w:t>
      </w:r>
      <w:r w:rsidRPr="0085722A">
        <w:t>, since she took the children to the locations where their educational and sports activities were held, and subsequently collected them. She was also able to attend a Catholic service in a church near Mr and Mrs B.</w:t>
      </w:r>
      <w:r w:rsidR="00C63C92">
        <w:t>'</w:t>
      </w:r>
      <w:r w:rsidRPr="0085722A">
        <w:t>s home. In addition, she left the house to go shopping, since it was on one of those occasions that she had met Mrs G. and agreed with her to go to the latter</w:t>
      </w:r>
      <w:r w:rsidR="00C63C92">
        <w:t>'</w:t>
      </w:r>
      <w:r w:rsidRPr="0085722A">
        <w:t>s home.</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37</w:t>
      </w:r>
      <w:r w:rsidRPr="0085722A">
        <w:fldChar w:fldCharType="end"/>
      </w:r>
      <w:r w:rsidRPr="0085722A">
        <w:t>.  The Court of Appeal further noted that the applicant had had an opportunity to contact her</w:t>
      </w:r>
      <w:r w:rsidR="006E1C37">
        <w:t xml:space="preserve"> uncle by telephone outside Mr and Mrs </w:t>
      </w:r>
      <w:r w:rsidR="00E330FD">
        <w:t>B</w:t>
      </w:r>
      <w:r w:rsidRPr="0085722A">
        <w:t>.</w:t>
      </w:r>
      <w:r w:rsidR="00C63C92">
        <w:t>'</w:t>
      </w:r>
      <w:r w:rsidR="006E1C37">
        <w:t>s</w:t>
      </w:r>
      <w:r w:rsidRPr="0085722A">
        <w:t xml:space="preserve"> home and to pay for calls from a telephone box.</w:t>
      </w:r>
      <w:r w:rsidR="00C63C92">
        <w:t xml:space="preserve"> </w:t>
      </w:r>
      <w:r w:rsidRPr="0085722A">
        <w:t>She had met her father and her uncle and had never complained about her situation.</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38</w:t>
      </w:r>
      <w:r w:rsidRPr="0085722A">
        <w:fldChar w:fldCharType="end"/>
      </w:r>
      <w:r w:rsidRPr="0085722A">
        <w:t>.  Furthermore, Mrs B.</w:t>
      </w:r>
      <w:r w:rsidR="00C63C92">
        <w:t>'</w:t>
      </w:r>
      <w:r w:rsidRPr="0085722A">
        <w:t>s mother confirmed that the applicant spoke good French and that she was in the habit of giving her small sums of money for family celebrations. She had frequently had the applicant and her grandchildren to stay in her country house and had never heard her complain of ill-treatment or contempt, although she had been free to express her views.</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39</w:t>
      </w:r>
      <w:r w:rsidRPr="0085722A">
        <w:fldChar w:fldCharType="end"/>
      </w:r>
      <w:r w:rsidRPr="0085722A">
        <w:t>.  The applicant</w:t>
      </w:r>
      <w:r w:rsidR="00C63C92">
        <w:t>'</w:t>
      </w:r>
      <w:r w:rsidRPr="0085722A">
        <w:t>s uncle stated that she was free, among other things, to leave the house and call him from a telephone box, that she was appropriately dressed, in good health and always had some money, which could not have come from anyone but Mr and Mrs B. He had offered to give her money, but she had never asked for any. He added that he had raised this question with Mrs B., who had told him that a certain amount was set aside every month in order to build up a nest egg for the applicant, which would be given to her when she left, and that the girl was aware of this arrangement.</w:t>
      </w:r>
    </w:p>
    <w:p w:rsidR="00C63C92" w:rsidRDefault="007A2F6F" w:rsidP="007A2F6F">
      <w:pPr>
        <w:pStyle w:val="JuPara"/>
      </w:pPr>
      <w:r w:rsidRPr="0085722A">
        <w:t>He stated that, on the basis of what he had been able to observe and conclude from his conversations with the applicant and with Mrs B., the girl had not been kept as a slave in the home in which she lived.</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40</w:t>
      </w:r>
      <w:r w:rsidRPr="0085722A">
        <w:fldChar w:fldCharType="end"/>
      </w:r>
      <w:r w:rsidRPr="0085722A">
        <w:t>.  The Court of Appeal ruled that the additional investigations and hearings had shown that, while it did appear that the applicant had not been paid or that the payment was clearly disproportionate to the amount of work carried out (although the defendants</w:t>
      </w:r>
      <w:r w:rsidR="00C63C92">
        <w:t>'</w:t>
      </w:r>
      <w:r w:rsidRPr="0085722A">
        <w:t xml:space="preserve"> intention to create a nest egg that would be handed over to her on departure had not been seriously disputed), in contrast, the existence of working or living conditions that were incompatible with human dignity had not been established.</w:t>
      </w:r>
    </w:p>
    <w:p w:rsidR="007A2F6F" w:rsidRPr="0085722A" w:rsidRDefault="007A2F6F" w:rsidP="007A2F6F">
      <w:pPr>
        <w:pStyle w:val="JuPara"/>
      </w:pPr>
      <w:r w:rsidRPr="0085722A">
        <w:t>It also considered that it had not been established that the applicant was in a state of vulnerability or dependence since, by taking advantage of her ability to come and go at will, contacting her family at any time, leaving Mr and Mrs B.</w:t>
      </w:r>
      <w:r w:rsidR="00C63C92">
        <w:t>'</w:t>
      </w:r>
      <w:r w:rsidRPr="0085722A">
        <w:t>s home for a considerable period and returning without coercion, the girl had, in spite of her youth, shown an undeniable form of independence, and vulnerability could not be established merely on the basis that she was an alien.</w:t>
      </w:r>
    </w:p>
    <w:p w:rsidR="007A2F6F" w:rsidRPr="0085722A" w:rsidRDefault="007A2F6F" w:rsidP="007A2F6F">
      <w:pPr>
        <w:pStyle w:val="JuPara"/>
      </w:pPr>
      <w:r w:rsidRPr="0085722A">
        <w:t>Accordingly, the Court of Ap</w:t>
      </w:r>
      <w:r w:rsidR="006E1C37">
        <w:t>peal acquitted the defendants on</w:t>
      </w:r>
      <w:r w:rsidRPr="0085722A">
        <w:t xml:space="preserve"> all the charges against them.</w:t>
      </w:r>
    </w:p>
    <w:p w:rsidR="00C63C92"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41</w:t>
      </w:r>
      <w:r w:rsidRPr="0085722A">
        <w:fldChar w:fldCharType="end"/>
      </w:r>
      <w:r w:rsidRPr="0085722A">
        <w:t xml:space="preserve">.  The applicant appealed on points of law against that judgment. No appeal was lodged by </w:t>
      </w:r>
      <w:r w:rsidR="006E1C37">
        <w:t>the Principal Public Prosecutor</w:t>
      </w:r>
      <w:r w:rsidR="00C63C92">
        <w:t>'</w:t>
      </w:r>
      <w:r w:rsidR="006E1C37">
        <w:t>s O</w:t>
      </w:r>
      <w:r w:rsidRPr="0085722A">
        <w:t>ffice.</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42</w:t>
      </w:r>
      <w:r w:rsidRPr="0085722A">
        <w:fldChar w:fldCharType="end"/>
      </w:r>
      <w:r w:rsidRPr="0085722A">
        <w:t xml:space="preserve">.  In a letter of </w:t>
      </w:r>
      <w:smartTag w:uri="urn:schemas-microsoft-com:office:smarttags" w:element="date">
        <w:smartTagPr>
          <w:attr w:name="Month" w:val="10"/>
          <w:attr w:name="Day" w:val="27"/>
          <w:attr w:name="Year" w:val="2000"/>
        </w:smartTagPr>
        <w:r w:rsidRPr="0085722A">
          <w:t>27 October 2000</w:t>
        </w:r>
      </w:smartTag>
      <w:r w:rsidRPr="0085722A">
        <w:t xml:space="preserve"> to the Chair of the Committee against Modern Slavery, the public prosecutor attached to the Paris Court of Appeal wrote:</w:t>
      </w:r>
    </w:p>
    <w:p w:rsidR="00C63C92" w:rsidRDefault="007A2F6F" w:rsidP="007A2F6F">
      <w:pPr>
        <w:pStyle w:val="JuQuot"/>
      </w:pPr>
      <w:r w:rsidRPr="0085722A">
        <w:t xml:space="preserve">“In your letter of </w:t>
      </w:r>
      <w:smartTag w:uri="urn:schemas-microsoft-com:office:smarttags" w:element="date">
        <w:smartTagPr>
          <w:attr w:name="Month" w:val="10"/>
          <w:attr w:name="Day" w:val="23"/>
          <w:attr w:name="Year" w:val="2000"/>
        </w:smartTagPr>
        <w:r w:rsidRPr="0085722A">
          <w:t>23 October 2000</w:t>
        </w:r>
      </w:smartTag>
      <w:r w:rsidRPr="0085722A">
        <w:t xml:space="preserve"> you asked me to inform you whether the public prosecution office under my direction has lodged an appeal on points of law against the judgment delivered on </w:t>
      </w:r>
      <w:smartTag w:uri="urn:schemas-microsoft-com:office:smarttags" w:element="date">
        <w:smartTagPr>
          <w:attr w:name="Month" w:val="10"/>
          <w:attr w:name="Day" w:val="19"/>
          <w:attr w:name="Year" w:val="2000"/>
        </w:smartTagPr>
        <w:r w:rsidRPr="0085722A">
          <w:t>19 October 2000</w:t>
        </w:r>
      </w:smartTag>
      <w:r w:rsidRPr="0085722A">
        <w:t xml:space="preserve"> by the </w:t>
      </w:r>
      <w:r w:rsidR="006E1C37">
        <w:t>Twelfth</w:t>
      </w:r>
      <w:r w:rsidRPr="0085722A">
        <w:t xml:space="preserve"> Division of the court which heard the appeal in the criminal proceedings against Mr and Mrs B.</w:t>
      </w:r>
    </w:p>
    <w:p w:rsidR="00C63C92" w:rsidRDefault="007A2F6F" w:rsidP="007A2F6F">
      <w:pPr>
        <w:pStyle w:val="JuQuot"/>
      </w:pPr>
      <w:r w:rsidRPr="0085722A">
        <w:t>The Court of Appeal</w:t>
      </w:r>
      <w:r w:rsidR="00C63C92">
        <w:t>'</w:t>
      </w:r>
      <w:r w:rsidRPr="0085722A">
        <w:t>s decision to acquit the defendants of the two offences of insufficiently remunerating a person in a vulnerable position and subjecting a person in a vulnerable or dependent state to demeaning working conditions was based on an assessment of elements of pure fact.</w:t>
      </w:r>
    </w:p>
    <w:p w:rsidR="00C63C92" w:rsidRDefault="007A2F6F" w:rsidP="007A2F6F">
      <w:pPr>
        <w:pStyle w:val="JuQuot"/>
      </w:pPr>
      <w:r w:rsidRPr="0085722A">
        <w:t>Since the Court of Cassation considers that such assessments come within the unfettered discretion of the trial courts, an appeal on points of law could not be effectively argued.</w:t>
      </w:r>
    </w:p>
    <w:p w:rsidR="007A2F6F" w:rsidRPr="0085722A" w:rsidRDefault="007A2F6F" w:rsidP="007A2F6F">
      <w:pPr>
        <w:pStyle w:val="JuQuot"/>
      </w:pPr>
      <w:r w:rsidRPr="0085722A">
        <w:t>That is why I have not made use of that remedy.”</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43</w:t>
      </w:r>
      <w:r w:rsidRPr="0085722A">
        <w:fldChar w:fldCharType="end"/>
      </w:r>
      <w:r w:rsidRPr="0085722A">
        <w:t xml:space="preserve">.  The Court of Cassation delivered its judgment on </w:t>
      </w:r>
      <w:smartTag w:uri="urn:schemas-microsoft-com:office:smarttags" w:element="date">
        <w:smartTagPr>
          <w:attr w:name="Month" w:val="12"/>
          <w:attr w:name="Day" w:val="11"/>
          <w:attr w:name="Year" w:val="2001"/>
        </w:smartTagPr>
        <w:r w:rsidRPr="0085722A">
          <w:t>11 December 2001</w:t>
        </w:r>
      </w:smartTag>
      <w:r w:rsidRPr="0085722A">
        <w:t>. It ruled as follows:</w:t>
      </w:r>
    </w:p>
    <w:p w:rsidR="007A2F6F" w:rsidRPr="0085722A" w:rsidRDefault="007A2F6F" w:rsidP="007A2F6F">
      <w:pPr>
        <w:pStyle w:val="JuQuot"/>
      </w:pPr>
      <w:r w:rsidRPr="0085722A">
        <w:t xml:space="preserve">“All judgments must contain reasons justifying the decision reached; giving inadequate or contradictory reasons is </w:t>
      </w:r>
      <w:r w:rsidR="006E1C37">
        <w:t>tantamount to giving no reasons.</w:t>
      </w:r>
    </w:p>
    <w:p w:rsidR="007A2F6F" w:rsidRPr="0085722A" w:rsidRDefault="007A2F6F" w:rsidP="007A2F6F">
      <w:pPr>
        <w:pStyle w:val="JuQuot"/>
      </w:pPr>
      <w:r w:rsidRPr="0085722A">
        <w:t>After an investigation into the situation of [the applicant], a young Togolese national whom they had employed and lodged in their home since she was 16, V. and A.B. were directly summoned before the criminal court for, firstly, taking advantage of a person</w:t>
      </w:r>
      <w:r w:rsidR="00C63C92">
        <w:t>'</w:t>
      </w:r>
      <w:r w:rsidRPr="0085722A">
        <w:t xml:space="preserve">s vulnerability or dependent state to obtain services without payment or any adequate payment, contrary to Article 225-13 of the Criminal Code and, secondly, for subjecting that person to working or living conditions incompatible with human dignity, contrary to </w:t>
      </w:r>
      <w:r w:rsidR="006E1C37">
        <w:t>Article 225-14 of the same Code.</w:t>
      </w:r>
    </w:p>
    <w:p w:rsidR="007A2F6F" w:rsidRPr="0085722A" w:rsidRDefault="007A2F6F" w:rsidP="007A2F6F">
      <w:pPr>
        <w:pStyle w:val="JuQuot"/>
      </w:pPr>
      <w:r w:rsidRPr="0085722A">
        <w:t>In acquitting the defendants of the two above-mentioned offences and dismissing the civil party</w:t>
      </w:r>
      <w:r w:rsidR="00C63C92">
        <w:t>'</w:t>
      </w:r>
      <w:r w:rsidRPr="0085722A">
        <w:t>s claims in connection therewith</w:t>
      </w:r>
      <w:r w:rsidR="006E1C37">
        <w:t xml:space="preserve">, the appeal court, </w:t>
      </w:r>
      <w:r w:rsidRPr="0085722A">
        <w:t xml:space="preserve">having noted that [the applicant] was a foreign minor, without a residence or work permit and without resources, nonetheless stated that her state of vulnerability and dependence, a common constituent element of the alleged offences, had not been established, given that the girl enjoyed a certain freedom of movement and that vulnerability could not be established merely on </w:t>
      </w:r>
      <w:r w:rsidR="006E1C37">
        <w:t>the basis that she was an alien.</w:t>
      </w:r>
    </w:p>
    <w:p w:rsidR="007A2F6F" w:rsidRPr="0085722A" w:rsidRDefault="007A2F6F" w:rsidP="007A2F6F">
      <w:pPr>
        <w:pStyle w:val="JuQuot"/>
      </w:pPr>
      <w:r w:rsidRPr="0085722A">
        <w:t xml:space="preserve">Furthermore, in finding </w:t>
      </w:r>
      <w:r w:rsidR="00094E42">
        <w:t xml:space="preserve">that </w:t>
      </w:r>
      <w:r w:rsidRPr="0085722A">
        <w:t xml:space="preserve">the offence </w:t>
      </w:r>
      <w:r w:rsidR="00094E42">
        <w:t>defined</w:t>
      </w:r>
      <w:r w:rsidRPr="0085722A">
        <w:t xml:space="preserve"> in Article 225-13 of the Criminal Code </w:t>
      </w:r>
      <w:r w:rsidR="00094E42">
        <w:t>had not been made out</w:t>
      </w:r>
      <w:r w:rsidRPr="0085722A">
        <w:t xml:space="preserve">, the court added that </w:t>
      </w:r>
      <w:r w:rsidR="00C63C92">
        <w:t>'</w:t>
      </w:r>
      <w:r w:rsidR="006E1C37">
        <w:t>i</w:t>
      </w:r>
      <w:r w:rsidR="00113022" w:rsidRPr="0085722A">
        <w:t>t d</w:t>
      </w:r>
      <w:r w:rsidR="00094E42">
        <w:t>oes</w:t>
      </w:r>
      <w:r w:rsidR="00113022" w:rsidRPr="0085722A">
        <w:t xml:space="preserve"> appear that the applicant ha</w:t>
      </w:r>
      <w:r w:rsidR="00094E42">
        <w:t>s</w:t>
      </w:r>
      <w:r w:rsidR="00113022" w:rsidRPr="0085722A">
        <w:t xml:space="preserve"> not been paid or that the payment was clearly disproportionate to the amount of work carried out (although the defendants</w:t>
      </w:r>
      <w:r w:rsidR="00C63C92">
        <w:t>'</w:t>
      </w:r>
      <w:r w:rsidR="00113022" w:rsidRPr="0085722A">
        <w:t xml:space="preserve"> intention to </w:t>
      </w:r>
      <w:r w:rsidR="00094E42">
        <w:t>build up</w:t>
      </w:r>
      <w:r w:rsidR="00094E42" w:rsidRPr="0085722A">
        <w:t xml:space="preserve"> </w:t>
      </w:r>
      <w:r w:rsidR="00113022" w:rsidRPr="0085722A">
        <w:t>a nest egg that would be handed over to her on departure ha</w:t>
      </w:r>
      <w:r w:rsidR="00094E42">
        <w:t>s</w:t>
      </w:r>
      <w:r w:rsidR="00113022" w:rsidRPr="0085722A">
        <w:t xml:space="preserve"> not been seriously disputed)</w:t>
      </w:r>
      <w:r w:rsidR="00C63C92">
        <w:t>'</w:t>
      </w:r>
      <w:r w:rsidR="006E1C37">
        <w:t>.</w:t>
      </w:r>
    </w:p>
    <w:p w:rsidR="007A2F6F" w:rsidRPr="0085722A" w:rsidRDefault="007A2F6F" w:rsidP="007A2F6F">
      <w:pPr>
        <w:pStyle w:val="JuQuot"/>
      </w:pPr>
      <w:r w:rsidRPr="0085722A">
        <w:t xml:space="preserve">Finally, in acquitting the defendants of the offence set out in Article 225-14 of the Criminal Code, the courts found that subjection to working or living conditions incompatible with human dignity </w:t>
      </w:r>
      <w:r w:rsidR="00C63C92">
        <w:t>'</w:t>
      </w:r>
      <w:r w:rsidRPr="0085722A">
        <w:t>had not been established</w:t>
      </w:r>
      <w:r w:rsidR="00C63C92">
        <w:t>'</w:t>
      </w:r>
      <w:r w:rsidR="006E1C37">
        <w:t>.</w:t>
      </w:r>
    </w:p>
    <w:p w:rsidR="007A2F6F" w:rsidRPr="0085722A" w:rsidRDefault="007A2F6F" w:rsidP="007A2F6F">
      <w:pPr>
        <w:pStyle w:val="JuQuot"/>
      </w:pPr>
      <w:r w:rsidRPr="0085722A">
        <w:t>However, in ruling in this way, with reasons that were inadequate and ineffective with regard to the victim</w:t>
      </w:r>
      <w:r w:rsidR="00C63C92">
        <w:t>'</w:t>
      </w:r>
      <w:r w:rsidRPr="0085722A">
        <w:t>s state of vulnerability and dependence and contradictory with regard to her remuneration, and without specifying the factual elements which established that her working conditions were compatible with human dignity, the Court of Appeal failed to draw from its finding</w:t>
      </w:r>
      <w:r w:rsidR="006E1C37">
        <w:t>s the legal conclusions that</w:t>
      </w:r>
      <w:r w:rsidRPr="0085722A">
        <w:t xml:space="preserve"> were required in the light of Article 225-13 of the Criminal Code and did not justify its decision in the light</w:t>
      </w:r>
      <w:r w:rsidR="006E1C37">
        <w:t xml:space="preserve"> of Article 225-14 of that Code.</w:t>
      </w:r>
    </w:p>
    <w:p w:rsidR="007A2F6F" w:rsidRPr="0085722A" w:rsidRDefault="007A2F6F" w:rsidP="007A2F6F">
      <w:pPr>
        <w:pStyle w:val="JuQuot"/>
      </w:pPr>
      <w:r w:rsidRPr="0085722A">
        <w:t>The judgment must therefore be quashed</w:t>
      </w:r>
      <w:r w:rsidR="006E1C37">
        <w:t>.</w:t>
      </w:r>
    </w:p>
    <w:p w:rsidR="007A2F6F" w:rsidRPr="0085722A" w:rsidRDefault="006E1C37" w:rsidP="007A2F6F">
      <w:pPr>
        <w:pStyle w:val="JuQuot"/>
      </w:pPr>
      <w:r>
        <w:t>For these reasons,</w:t>
      </w:r>
    </w:p>
    <w:p w:rsidR="007A2F6F" w:rsidRPr="0085722A" w:rsidRDefault="007A2F6F" w:rsidP="007A2F6F">
      <w:pPr>
        <w:pStyle w:val="JuQuot"/>
      </w:pPr>
      <w:r w:rsidRPr="0085722A">
        <w:t>[The Court of Cassation] quashes the above-mentioned judgment of the Paris Court of Appeal dated 19 October 2000 but only in respect of the provisions dismissing the civil party</w:t>
      </w:r>
      <w:r w:rsidR="00C63C92">
        <w:t>'</w:t>
      </w:r>
      <w:r w:rsidRPr="0085722A">
        <w:t>s requests for compensation in respect of the offences provided for in Articles 225-13 and 225-14 of the Criminal Code, all other provisions being expressly maintained, and instructs that the case be remitted, in accordance with the law, for a rehearing of the matters in respect of whi</w:t>
      </w:r>
      <w:r w:rsidR="006E1C37">
        <w:t xml:space="preserve">ch this appeal has been allowed. </w:t>
      </w:r>
      <w:r w:rsidRPr="0085722A">
        <w:t>...”</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44</w:t>
      </w:r>
      <w:r w:rsidRPr="0085722A">
        <w:fldChar w:fldCharType="end"/>
      </w:r>
      <w:r w:rsidRPr="0085722A">
        <w:t xml:space="preserve">.  The Versailles Court of Appeal, to which the case was subsequently referred, delivered its judgment on </w:t>
      </w:r>
      <w:smartTag w:uri="urn:schemas-microsoft-com:office:smarttags" w:element="date">
        <w:smartTagPr>
          <w:attr w:name="Month" w:val="5"/>
          <w:attr w:name="Day" w:val="15"/>
          <w:attr w:name="Year" w:val="2003"/>
        </w:smartTagPr>
        <w:r w:rsidRPr="0085722A">
          <w:t>15 May 2003</w:t>
        </w:r>
      </w:smartTag>
      <w:r w:rsidRPr="0085722A">
        <w:t xml:space="preserve">. It ruled, </w:t>
      </w:r>
      <w:r w:rsidRPr="0085722A">
        <w:rPr>
          <w:i/>
        </w:rPr>
        <w:t>inter alia</w:t>
      </w:r>
      <w:r w:rsidRPr="0085722A">
        <w:t>, as follows:</w:t>
      </w:r>
    </w:p>
    <w:p w:rsidR="007A2F6F" w:rsidRPr="0085722A" w:rsidRDefault="007A2F6F" w:rsidP="007A2F6F">
      <w:pPr>
        <w:pStyle w:val="JuQuot"/>
      </w:pPr>
      <w:r w:rsidRPr="0085722A">
        <w:t xml:space="preserve">“As was correctly noted at first instance, the evidence shows that </w:t>
      </w:r>
      <w:r w:rsidR="00E330FD">
        <w:t>[</w:t>
      </w:r>
      <w:r w:rsidRPr="0085722A">
        <w:t>the applicant</w:t>
      </w:r>
      <w:r w:rsidR="00E330FD">
        <w:t>]</w:t>
      </w:r>
      <w:r w:rsidRPr="0085722A">
        <w:t>, an alien who arrived in Fran</w:t>
      </w:r>
      <w:r w:rsidR="006E1C37">
        <w:t>ce at the age of 16</w:t>
      </w:r>
      <w:r w:rsidRPr="0085722A">
        <w:t>, worked for several years for Mr and Mrs B., carrying out household tasks and looking after their three, and subsequently four, children for seven days a week, from 7 a</w:t>
      </w:r>
      <w:r w:rsidR="006E1C37">
        <w:t>.</w:t>
      </w:r>
      <w:r w:rsidRPr="0085722A">
        <w:t>m</w:t>
      </w:r>
      <w:r w:rsidR="006E1C37">
        <w:t>.</w:t>
      </w:r>
      <w:r w:rsidRPr="0085722A">
        <w:t xml:space="preserve"> to 10 p</w:t>
      </w:r>
      <w:r w:rsidR="006E1C37">
        <w:t>.</w:t>
      </w:r>
      <w:r w:rsidRPr="0085722A">
        <w:t>m</w:t>
      </w:r>
      <w:r w:rsidR="006E1C37">
        <w:t>.</w:t>
      </w:r>
      <w:r w:rsidRPr="0085722A">
        <w:t>, without receiving any remuneration whatsoever; contrary to the defendants</w:t>
      </w:r>
      <w:r w:rsidR="00C63C92">
        <w:t>'</w:t>
      </w:r>
      <w:r w:rsidRPr="0085722A">
        <w:t xml:space="preserve"> claims, she was not considered a family friend, since she was obliged to follow Mrs B.</w:t>
      </w:r>
      <w:r w:rsidR="00C63C92">
        <w:t>'</w:t>
      </w:r>
      <w:r w:rsidRPr="0085722A">
        <w:t>s instructions regarding her working hours and the work to be done, and was not fre</w:t>
      </w:r>
      <w:r w:rsidR="006E1C37">
        <w:t>e to come and go as she pleased.</w:t>
      </w:r>
    </w:p>
    <w:p w:rsidR="007A2F6F" w:rsidRPr="0085722A" w:rsidRDefault="007A2F6F" w:rsidP="007A2F6F">
      <w:pPr>
        <w:pStyle w:val="JuQuot"/>
      </w:pPr>
      <w:r w:rsidRPr="0085722A">
        <w:t xml:space="preserve">In addition, there is no evidence to show that a nest egg has been </w:t>
      </w:r>
      <w:r w:rsidR="00094E42">
        <w:t>built up</w:t>
      </w:r>
      <w:r w:rsidR="00094E42" w:rsidRPr="0085722A">
        <w:t xml:space="preserve"> </w:t>
      </w:r>
      <w:r w:rsidRPr="0085722A">
        <w:t>for her, since the list of payments allegedly made by the defendants is in M</w:t>
      </w:r>
      <w:r w:rsidR="006E1C37">
        <w:t>rs B.</w:t>
      </w:r>
      <w:r w:rsidR="00C63C92">
        <w:t>'</w:t>
      </w:r>
      <w:r w:rsidR="006E1C37">
        <w:t>s name.</w:t>
      </w:r>
    </w:p>
    <w:p w:rsidR="007A2F6F" w:rsidRPr="0085722A" w:rsidRDefault="007A2F6F" w:rsidP="007A2F6F">
      <w:pPr>
        <w:pStyle w:val="JuQuot"/>
      </w:pPr>
      <w:r w:rsidRPr="0085722A">
        <w:t xml:space="preserve">It was only at the hearing before the </w:t>
      </w:r>
      <w:r w:rsidRPr="0085722A">
        <w:rPr>
          <w:i/>
        </w:rPr>
        <w:t xml:space="preserve">tribunal de grande instance </w:t>
      </w:r>
      <w:r w:rsidRPr="0085722A">
        <w:t xml:space="preserve">that the defendants gave the </w:t>
      </w:r>
      <w:r w:rsidR="006E1C37">
        <w:t>victim the sum of 50,000 francs.</w:t>
      </w:r>
    </w:p>
    <w:p w:rsidR="007A2F6F" w:rsidRPr="0085722A" w:rsidRDefault="007A2F6F" w:rsidP="007A2F6F">
      <w:pPr>
        <w:pStyle w:val="JuQuot"/>
      </w:pPr>
      <w:r w:rsidRPr="0085722A">
        <w:t>Finally, far from showing that [the applicant] was happy to return to Mr and Mrs</w:t>
      </w:r>
      <w:r w:rsidR="001B73F7">
        <w:t> </w:t>
      </w:r>
      <w:r w:rsidRPr="0085722A">
        <w:t>B.</w:t>
      </w:r>
      <w:r w:rsidR="00C63C92">
        <w:t>'</w:t>
      </w:r>
      <w:r w:rsidRPr="0085722A">
        <w:t>s home, the conditions in which she did so after an absence of several months are, on the contrary, indicative of the pressure she had been subjected to by her family and of her state of res</w:t>
      </w:r>
      <w:r w:rsidR="006E1C37">
        <w:t>ignation and emotional disarray.</w:t>
      </w:r>
    </w:p>
    <w:p w:rsidR="007A2F6F" w:rsidRPr="0085722A" w:rsidRDefault="007A2F6F" w:rsidP="007A2F6F">
      <w:pPr>
        <w:pStyle w:val="JuQuot"/>
      </w:pPr>
      <w:r w:rsidRPr="0085722A">
        <w:t>With regard to the victim</w:t>
      </w:r>
      <w:r w:rsidR="00C63C92">
        <w:t>'</w:t>
      </w:r>
      <w:r w:rsidRPr="0085722A">
        <w:t>s state of dependence and vulnerability during the period under examination, it should be noted that this young girl was a minor, of Togolese nationality, an illegal immigrant in France, without a passport, more often than not without money, and that she was able to move about only under Mrs B.</w:t>
      </w:r>
      <w:r w:rsidR="00C63C92">
        <w:t>'</w:t>
      </w:r>
      <w:r w:rsidRPr="0085722A">
        <w:t>s supervision for the purposes of the children</w:t>
      </w:r>
      <w:r w:rsidR="00C63C92">
        <w:t>'</w:t>
      </w:r>
      <w:r w:rsidRPr="0085722A">
        <w:t>s ed</w:t>
      </w:r>
      <w:r w:rsidR="006E1C37">
        <w:t>ucational and sports activities.</w:t>
      </w:r>
    </w:p>
    <w:p w:rsidR="007A2F6F" w:rsidRPr="0085722A" w:rsidRDefault="007A2F6F" w:rsidP="007A2F6F">
      <w:pPr>
        <w:pStyle w:val="JuQuot"/>
      </w:pPr>
      <w:r w:rsidRPr="0085722A">
        <w:t xml:space="preserve">Accordingly, it was on appropriate grounds, to which this court subscribes, that the court at first instance found that the constituent elements of the offence punishable under Article 225-13 of the Criminal Code were </w:t>
      </w:r>
      <w:r w:rsidR="00094E42">
        <w:t xml:space="preserve">established </w:t>
      </w:r>
      <w:r w:rsidR="006E1C37">
        <w:t>in respect of the defendants.</w:t>
      </w:r>
    </w:p>
    <w:p w:rsidR="007A2F6F" w:rsidRPr="0085722A" w:rsidRDefault="007A2F6F" w:rsidP="007A2F6F">
      <w:pPr>
        <w:pStyle w:val="JuQuot"/>
      </w:pPr>
      <w:r w:rsidRPr="0085722A">
        <w:t xml:space="preserve">With regard to the offence of subjecting a person in a vulnerable or dependent position to working or living conditions that are </w:t>
      </w:r>
      <w:r w:rsidR="006E1C37">
        <w:t>incompatible with human dignity</w:t>
      </w:r>
      <w:r w:rsidR="001B73F7">
        <w:t>:</w:t>
      </w:r>
    </w:p>
    <w:p w:rsidR="007A2F6F" w:rsidRPr="0085722A" w:rsidRDefault="007A2F6F" w:rsidP="007A2F6F">
      <w:pPr>
        <w:pStyle w:val="JuQuot"/>
      </w:pPr>
      <w:r w:rsidRPr="0085722A">
        <w:t>As the court of first instance correctly noted, carrying out household tasks and looking after children throughout the day could not by themselves constitute working conditions incompatible with human dignity, this being the lot of many mothers; in addition, the civil party</w:t>
      </w:r>
      <w:r w:rsidR="00C63C92">
        <w:t>'</w:t>
      </w:r>
      <w:r w:rsidRPr="0085722A">
        <w:t>s allegations of humiliating treatment or harassment have not been proved</w:t>
      </w:r>
      <w:r w:rsidR="006E1C37">
        <w:t>.</w:t>
      </w:r>
    </w:p>
    <w:p w:rsidR="007A2F6F" w:rsidRPr="0085722A" w:rsidRDefault="007A2F6F" w:rsidP="007A2F6F">
      <w:pPr>
        <w:pStyle w:val="JuQuot"/>
      </w:pPr>
      <w:r w:rsidRPr="0085722A">
        <w:t>Equally, the fact that [the applicant] did not have an area reserved for her personal use does not mean that the accommodation was incompatible with human dignity, given that Mr and Mrs B</w:t>
      </w:r>
      <w:r w:rsidR="00C63C92">
        <w:t>'</w:t>
      </w:r>
      <w:r w:rsidRPr="0085722A">
        <w:t xml:space="preserve">s own children shared the same room, which </w:t>
      </w:r>
      <w:r w:rsidR="006E1C37">
        <w:t xml:space="preserve">was </w:t>
      </w:r>
      <w:r w:rsidR="00EC06DB">
        <w:t>in no way</w:t>
      </w:r>
      <w:r w:rsidR="006E1C37">
        <w:t xml:space="preserve"> unhygienic.</w:t>
      </w:r>
    </w:p>
    <w:p w:rsidR="007A2F6F" w:rsidRPr="0085722A" w:rsidRDefault="007A2F6F" w:rsidP="007A2F6F">
      <w:pPr>
        <w:pStyle w:val="JuQuot"/>
      </w:pPr>
      <w:r w:rsidRPr="0085722A">
        <w:t>Accordingly, the constituent elements of this second offence have not been establis</w:t>
      </w:r>
      <w:r w:rsidR="006E1C37">
        <w:t>hed in respect of Mr and Mrs B.</w:t>
      </w:r>
    </w:p>
    <w:p w:rsidR="007A2F6F" w:rsidRPr="0085722A" w:rsidRDefault="007A2F6F" w:rsidP="007A2F6F">
      <w:pPr>
        <w:pStyle w:val="JuQuot"/>
      </w:pPr>
      <w:r w:rsidRPr="0085722A">
        <w:t>Independently of the sums due to [the applicant] in wages and the payment of 50,000 francs in a belated gesture of partial remuneration, Mr B., whose intellectual and cultural level was such as to enable him to grasp fully the unlawfulness of his conduct, but who allowed the situation to continue, probably through cowardice, has, together with Mrs B., caused [the applicant] considerable psychological trauma, for which should be awarded 15,245 euros in compensation, as assessed by the court of first instance.”</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45</w:t>
      </w:r>
      <w:r w:rsidRPr="0085722A">
        <w:fldChar w:fldCharType="end"/>
      </w:r>
      <w:r w:rsidRPr="0085722A">
        <w:t xml:space="preserve">.  On </w:t>
      </w:r>
      <w:smartTag w:uri="urn:schemas-microsoft-com:office:smarttags" w:element="date">
        <w:smartTagPr>
          <w:attr w:name="Month" w:val="10"/>
          <w:attr w:name="Day" w:val="3"/>
          <w:attr w:name="Year" w:val="2003"/>
        </w:smartTagPr>
        <w:r w:rsidRPr="0085722A">
          <w:t>3 October 2003</w:t>
        </w:r>
      </w:smartTag>
      <w:r w:rsidRPr="0085722A">
        <w:t xml:space="preserve"> the </w:t>
      </w:r>
      <w:smartTag w:uri="urn:schemas-microsoft-com:office:smarttags" w:element="place">
        <w:smartTag w:uri="urn:schemas-microsoft-com:office:smarttags" w:element="City">
          <w:r w:rsidRPr="0085722A">
            <w:t>Paris</w:t>
          </w:r>
        </w:smartTag>
      </w:smartTag>
      <w:r w:rsidRPr="0085722A">
        <w:t xml:space="preserve"> industrial tribunal delivered judgment following an application submitted by the applicant. It awarded her 31,238</w:t>
      </w:r>
      <w:r w:rsidR="001B73F7">
        <w:t> </w:t>
      </w:r>
      <w:r w:rsidRPr="0085722A">
        <w:t>euros (EUR) in respect of arrears of salary, EUR 1,647 in respect of the notice period and EUR 164 in respect of holiday leave.</w:t>
      </w:r>
    </w:p>
    <w:p w:rsidR="00CD49A7" w:rsidRPr="0085722A" w:rsidRDefault="00CD49A7">
      <w:pPr>
        <w:pStyle w:val="JuHIRoman"/>
      </w:pPr>
      <w:r w:rsidRPr="0085722A">
        <w:t xml:space="preserve">II.  RELEVANT </w:t>
      </w:r>
      <w:r w:rsidR="006C7D24" w:rsidRPr="0085722A">
        <w:t>LAW</w:t>
      </w:r>
    </w:p>
    <w:p w:rsidR="007A2F6F" w:rsidRPr="006E1C37" w:rsidRDefault="007A2F6F" w:rsidP="007A2F6F">
      <w:pPr>
        <w:pStyle w:val="JuPara"/>
        <w:rPr>
          <w:rStyle w:val="JuHAChar"/>
        </w:rPr>
      </w:pPr>
      <w:r w:rsidRPr="0085722A">
        <w:fldChar w:fldCharType="begin"/>
      </w:r>
      <w:r w:rsidRPr="0085722A">
        <w:instrText xml:space="preserve"> SEQ level0 \*arabic </w:instrText>
      </w:r>
      <w:r w:rsidRPr="0085722A">
        <w:fldChar w:fldCharType="separate"/>
      </w:r>
      <w:r w:rsidR="00E97C1C">
        <w:rPr>
          <w:noProof/>
        </w:rPr>
        <w:t>46</w:t>
      </w:r>
      <w:r w:rsidRPr="0085722A">
        <w:fldChar w:fldCharType="end"/>
      </w:r>
      <w:r w:rsidRPr="006E1C37">
        <w:rPr>
          <w:rStyle w:val="JuHAChar"/>
          <w:b w:val="0"/>
        </w:rPr>
        <w:t>. </w:t>
      </w:r>
      <w:r w:rsidRPr="006E1C37">
        <w:rPr>
          <w:rStyle w:val="JuHAChar"/>
        </w:rPr>
        <w:t> </w:t>
      </w:r>
      <w:r w:rsidR="006E1C37">
        <w:rPr>
          <w:rStyle w:val="JuHAChar"/>
        </w:rPr>
        <w:t xml:space="preserve">The </w:t>
      </w:r>
      <w:r w:rsidRPr="006E1C37">
        <w:rPr>
          <w:rStyle w:val="JuHAChar"/>
        </w:rPr>
        <w:t>Criminal Code as worded at the material time</w:t>
      </w:r>
    </w:p>
    <w:p w:rsidR="007A2F6F" w:rsidRPr="0085722A" w:rsidRDefault="007A2F6F" w:rsidP="007A2F6F">
      <w:pPr>
        <w:pStyle w:val="JuHArticle"/>
        <w:rPr>
          <w:sz w:val="14"/>
          <w:szCs w:val="14"/>
        </w:rPr>
      </w:pPr>
      <w:r w:rsidRPr="0085722A">
        <w:t>Article 225-13</w:t>
      </w:r>
    </w:p>
    <w:p w:rsidR="007A2F6F" w:rsidRPr="0085722A" w:rsidRDefault="007A2F6F" w:rsidP="007A2F6F">
      <w:pPr>
        <w:pStyle w:val="JuQuot"/>
      </w:pPr>
      <w:r w:rsidRPr="0085722A">
        <w:t>“It shall be an offence punishable by two years</w:t>
      </w:r>
      <w:r w:rsidR="00C63C92">
        <w:t>'</w:t>
      </w:r>
      <w:r w:rsidRPr="0085722A">
        <w:t xml:space="preserve"> imprisonment and a fine of 500,000 francs to obtain from an individual the performance of services without payment or in exchange for payment that is manifestly disproportionate to the amount of work carried out, by taking advantage of that person</w:t>
      </w:r>
      <w:r w:rsidR="00C63C92">
        <w:t>'</w:t>
      </w:r>
      <w:r w:rsidRPr="0085722A">
        <w:t>s vulnerability or state of dependence.”</w:t>
      </w:r>
    </w:p>
    <w:p w:rsidR="007A2F6F" w:rsidRPr="0085722A" w:rsidRDefault="007A2F6F" w:rsidP="007A2F6F">
      <w:pPr>
        <w:pStyle w:val="JuHArticle"/>
      </w:pPr>
      <w:r w:rsidRPr="0085722A">
        <w:t>Article 225-14</w:t>
      </w:r>
    </w:p>
    <w:p w:rsidR="007A2F6F" w:rsidRPr="0085722A" w:rsidRDefault="004C3E82" w:rsidP="007A2F6F">
      <w:pPr>
        <w:pStyle w:val="JuQuot"/>
      </w:pPr>
      <w:r>
        <w:t>“</w:t>
      </w:r>
      <w:r w:rsidR="007A2F6F" w:rsidRPr="0085722A">
        <w:t>It shall be an offence punishable by two years</w:t>
      </w:r>
      <w:r w:rsidR="00C63C92">
        <w:t>'</w:t>
      </w:r>
      <w:r w:rsidR="007A2F6F" w:rsidRPr="0085722A">
        <w:t xml:space="preserve"> imprisonment and a fine of 500,000 francs to subject an individual to working or living conditions which are incompatible with human dignity by taking advantage of that individual</w:t>
      </w:r>
      <w:r w:rsidR="00C63C92">
        <w:t>'</w:t>
      </w:r>
      <w:r w:rsidR="007A2F6F" w:rsidRPr="0085722A">
        <w:t>s vulnerability or state of dependence.”</w:t>
      </w:r>
    </w:p>
    <w:p w:rsidR="00BD3601" w:rsidRPr="0085722A" w:rsidRDefault="00BD3601" w:rsidP="007A2F6F">
      <w:pPr>
        <w:pStyle w:val="JuQuot"/>
      </w:pPr>
    </w:p>
    <w:p w:rsidR="007A2F6F" w:rsidRPr="0085722A" w:rsidRDefault="00BD3601" w:rsidP="007A2F6F">
      <w:pPr>
        <w:pStyle w:val="JuPara"/>
      </w:pPr>
      <w:r w:rsidRPr="0085722A">
        <w:fldChar w:fldCharType="begin"/>
      </w:r>
      <w:r w:rsidRPr="0085722A">
        <w:instrText xml:space="preserve"> SEQ level0 \*arabic </w:instrText>
      </w:r>
      <w:r w:rsidRPr="0085722A">
        <w:fldChar w:fldCharType="separate"/>
      </w:r>
      <w:r w:rsidR="00E97C1C">
        <w:rPr>
          <w:noProof/>
        </w:rPr>
        <w:t>47</w:t>
      </w:r>
      <w:r w:rsidRPr="0085722A">
        <w:fldChar w:fldCharType="end"/>
      </w:r>
      <w:r w:rsidRPr="004C3E82">
        <w:rPr>
          <w:rStyle w:val="JuHAChar"/>
        </w:rPr>
        <w:t>.  </w:t>
      </w:r>
      <w:r w:rsidR="006A5017">
        <w:rPr>
          <w:rStyle w:val="JuHAChar"/>
        </w:rPr>
        <w:t>T</w:t>
      </w:r>
      <w:r w:rsidR="004C3E82" w:rsidRPr="004C3E82">
        <w:rPr>
          <w:rStyle w:val="JuHAChar"/>
        </w:rPr>
        <w:t xml:space="preserve">he </w:t>
      </w:r>
      <w:r w:rsidR="007A2F6F" w:rsidRPr="004C3E82">
        <w:rPr>
          <w:rStyle w:val="JuHAChar"/>
        </w:rPr>
        <w:t>Criminal Code as amended by the Law of 18 March 2003</w:t>
      </w:r>
    </w:p>
    <w:p w:rsidR="007A2F6F" w:rsidRPr="0085722A" w:rsidRDefault="007A2F6F" w:rsidP="007A2F6F">
      <w:pPr>
        <w:pStyle w:val="JuHArticle"/>
      </w:pPr>
      <w:r w:rsidRPr="0085722A">
        <w:t>Article 225-13</w:t>
      </w:r>
    </w:p>
    <w:p w:rsidR="007A2F6F" w:rsidRPr="0085722A" w:rsidRDefault="007A2F6F" w:rsidP="007A2F6F">
      <w:pPr>
        <w:pStyle w:val="JuQuot"/>
      </w:pPr>
      <w:r w:rsidRPr="0085722A">
        <w:t>“It shall be an offence punishable by five years</w:t>
      </w:r>
      <w:r w:rsidR="00C63C92">
        <w:t>'</w:t>
      </w:r>
      <w:r w:rsidRPr="0085722A">
        <w:t xml:space="preserve"> imprisonment and a fine of 150,000 </w:t>
      </w:r>
      <w:r w:rsidR="004C3E82">
        <w:t xml:space="preserve">euros </w:t>
      </w:r>
      <w:r w:rsidRPr="0085722A">
        <w:t>to obtain from an individual whose vulnerability or state of dependence is apparent or of which the offender is aware</w:t>
      </w:r>
      <w:r w:rsidR="001B73F7">
        <w:t>,</w:t>
      </w:r>
      <w:r w:rsidRPr="0085722A">
        <w:t xml:space="preserve"> the performance of services without payment or in exchange for payment which is manifestly disproportionate to the amount of work carried out.”</w:t>
      </w:r>
    </w:p>
    <w:p w:rsidR="007A2F6F" w:rsidRPr="0085722A" w:rsidRDefault="007A2F6F" w:rsidP="007A2F6F">
      <w:pPr>
        <w:pStyle w:val="JuHArticle"/>
      </w:pPr>
      <w:r w:rsidRPr="0085722A">
        <w:t>Article 225-14</w:t>
      </w:r>
    </w:p>
    <w:p w:rsidR="007A2F6F" w:rsidRPr="0085722A" w:rsidRDefault="007A2F6F" w:rsidP="007A2F6F">
      <w:pPr>
        <w:pStyle w:val="JuQuot"/>
      </w:pPr>
      <w:r w:rsidRPr="0085722A">
        <w:t>“It shall be an offence punishable by five years</w:t>
      </w:r>
      <w:r w:rsidR="00C63C92">
        <w:t>'</w:t>
      </w:r>
      <w:r w:rsidRPr="0085722A">
        <w:t xml:space="preserve"> imprisonment and a fine of 150,000</w:t>
      </w:r>
      <w:r w:rsidR="004C3E82">
        <w:t xml:space="preserve"> euros </w:t>
      </w:r>
      <w:r w:rsidRPr="0085722A">
        <w:t>to subject an individual whose vulnerability or state of dependence is apparent or of which the offender is aware to working or living conditions which are incompatible with human dignity.”</w:t>
      </w:r>
    </w:p>
    <w:p w:rsidR="007A2F6F" w:rsidRPr="0085722A" w:rsidRDefault="007A2F6F" w:rsidP="007A2F6F">
      <w:pPr>
        <w:pStyle w:val="JuHArticle"/>
        <w:rPr>
          <w:color w:val="000000"/>
          <w:sz w:val="10"/>
          <w:szCs w:val="10"/>
        </w:rPr>
      </w:pPr>
      <w:r w:rsidRPr="0085722A">
        <w:t>Article 225-15</w:t>
      </w:r>
    </w:p>
    <w:p w:rsidR="007A2F6F" w:rsidRPr="0085722A" w:rsidRDefault="007A2F6F" w:rsidP="007A2F6F">
      <w:pPr>
        <w:pStyle w:val="JuQuot"/>
      </w:pPr>
      <w:r w:rsidRPr="0085722A">
        <w:t>“T</w:t>
      </w:r>
      <w:r w:rsidR="0076696D">
        <w:t xml:space="preserve">he offences set out in Articles </w:t>
      </w:r>
      <w:r w:rsidRPr="0085722A">
        <w:t>225-13 and 225-14 shall be punishable by seven years</w:t>
      </w:r>
      <w:r w:rsidR="00C63C92">
        <w:t>'</w:t>
      </w:r>
      <w:r w:rsidRPr="0085722A">
        <w:t xml:space="preserve"> imp</w:t>
      </w:r>
      <w:r w:rsidR="0076696D">
        <w:t xml:space="preserve">risonment and a fine of 200,000 </w:t>
      </w:r>
      <w:r w:rsidRPr="0085722A">
        <w:t>euros if they are committed against more than one person.</w:t>
      </w:r>
    </w:p>
    <w:p w:rsidR="007A2F6F" w:rsidRPr="0085722A" w:rsidRDefault="007A2F6F" w:rsidP="007A2F6F">
      <w:pPr>
        <w:pStyle w:val="JuQuot"/>
      </w:pPr>
      <w:r w:rsidRPr="0085722A">
        <w:t>If they are committed against a minor, they shall be punishable by seven years</w:t>
      </w:r>
      <w:r w:rsidR="00C63C92">
        <w:t>'</w:t>
      </w:r>
      <w:r w:rsidRPr="0085722A">
        <w:t xml:space="preserve"> imp</w:t>
      </w:r>
      <w:r w:rsidR="0091562A">
        <w:t xml:space="preserve">risonment and a fine of 200,000 </w:t>
      </w:r>
      <w:r w:rsidRPr="0085722A">
        <w:t>euros.</w:t>
      </w:r>
    </w:p>
    <w:p w:rsidR="007A2F6F" w:rsidRPr="0085722A" w:rsidRDefault="007A2F6F" w:rsidP="007A2F6F">
      <w:pPr>
        <w:pStyle w:val="JuQuot"/>
      </w:pPr>
      <w:r w:rsidRPr="0085722A">
        <w:t>If they are committed against more than one person, including one or more minors, they shall be punishable by ten years</w:t>
      </w:r>
      <w:r w:rsidR="00C63C92">
        <w:t>'</w:t>
      </w:r>
      <w:r w:rsidRPr="0085722A">
        <w:t xml:space="preserve"> imp</w:t>
      </w:r>
      <w:r w:rsidR="0076696D">
        <w:t xml:space="preserve">risonment and a fine of 300,000 </w:t>
      </w:r>
      <w:r w:rsidRPr="0085722A">
        <w:t>euros.”</w:t>
      </w:r>
    </w:p>
    <w:p w:rsidR="007A2F6F" w:rsidRPr="004C3E82" w:rsidRDefault="00BD3601" w:rsidP="007A2F6F">
      <w:pPr>
        <w:pStyle w:val="JuPara"/>
        <w:rPr>
          <w:rStyle w:val="JuHAChar"/>
        </w:rPr>
      </w:pPr>
      <w:r w:rsidRPr="0085722A">
        <w:fldChar w:fldCharType="begin"/>
      </w:r>
      <w:r w:rsidRPr="0085722A">
        <w:instrText xml:space="preserve"> SEQ level0 \*arabic </w:instrText>
      </w:r>
      <w:r w:rsidRPr="0085722A">
        <w:fldChar w:fldCharType="separate"/>
      </w:r>
      <w:r w:rsidR="00E97C1C">
        <w:rPr>
          <w:noProof/>
        </w:rPr>
        <w:t>48</w:t>
      </w:r>
      <w:r w:rsidRPr="0085722A">
        <w:fldChar w:fldCharType="end"/>
      </w:r>
      <w:r w:rsidRPr="0085722A">
        <w:t>.</w:t>
      </w:r>
      <w:r w:rsidR="006A5017">
        <w:rPr>
          <w:rStyle w:val="JuHAChar"/>
        </w:rPr>
        <w:t> </w:t>
      </w:r>
      <w:r w:rsidR="007A2F6F" w:rsidRPr="004C3E82">
        <w:rPr>
          <w:rStyle w:val="JuHAChar"/>
        </w:rPr>
        <w:t> Information report by the French National Assembly</w:t>
      </w:r>
      <w:r w:rsidR="00C63C92">
        <w:rPr>
          <w:rStyle w:val="JuHAChar"/>
        </w:rPr>
        <w:t>'</w:t>
      </w:r>
      <w:r w:rsidR="007A2F6F" w:rsidRPr="004C3E82">
        <w:rPr>
          <w:rStyle w:val="JuHAChar"/>
        </w:rPr>
        <w:t xml:space="preserve">s joint fact-finding taskforce on the various forms of modern slavery, tabled on 12 December 2001 </w:t>
      </w:r>
      <w:r w:rsidR="007A2F6F" w:rsidRPr="006A5017">
        <w:rPr>
          <w:rStyle w:val="JuHAChar"/>
          <w:b w:val="0"/>
        </w:rPr>
        <w:t>(extracts)</w:t>
      </w:r>
    </w:p>
    <w:p w:rsidR="007A2F6F" w:rsidRPr="0085722A" w:rsidRDefault="007A2F6F" w:rsidP="007A2F6F">
      <w:pPr>
        <w:pStyle w:val="JuQuot"/>
      </w:pPr>
      <w:r w:rsidRPr="0085722A">
        <w:t>“The situation of minors, who are more vulnerable and ought to receive special protection on account of their age, strikes the taskforce as highly worrying: ..., children doomed to work as domestic servants or in illegal workshops</w:t>
      </w:r>
      <w:r w:rsidR="004C3E82">
        <w:t xml:space="preserve"> </w:t>
      </w:r>
      <w:r w:rsidRPr="0085722A">
        <w:t>...</w:t>
      </w:r>
      <w:r w:rsidR="00C63C92">
        <w:t xml:space="preserve"> </w:t>
      </w:r>
      <w:r w:rsidRPr="0085722A">
        <w:t>represent easy prey for traffickers of all kinds</w:t>
      </w:r>
      <w:r w:rsidR="004C3E82">
        <w:t xml:space="preserve"> </w:t>
      </w:r>
      <w:r w:rsidRPr="0085722A">
        <w:t>...</w:t>
      </w:r>
    </w:p>
    <w:p w:rsidR="007A2F6F" w:rsidRPr="0085722A" w:rsidRDefault="007A2F6F" w:rsidP="007A2F6F">
      <w:pPr>
        <w:pStyle w:val="JuQuot"/>
      </w:pPr>
      <w:r w:rsidRPr="0085722A">
        <w:t>What solutions can be proposed in view of the growth in these forms of slavery?</w:t>
      </w:r>
      <w:r w:rsidR="00C63C92">
        <w:t xml:space="preserve"> </w:t>
      </w:r>
      <w:r w:rsidRPr="0085722A">
        <w:t>Some already exist, of course. We have available a not inconsiderable arsenal of punitive measures. However, these are not always used in full and are proving an insufficient deterrent when put to the test. The police and the justice system are obtaining only limited results.</w:t>
      </w:r>
    </w:p>
    <w:p w:rsidR="007A2F6F" w:rsidRPr="0085722A" w:rsidRDefault="007A2F6F" w:rsidP="007A2F6F">
      <w:pPr>
        <w:pStyle w:val="JuQuot"/>
      </w:pPr>
      <w:r w:rsidRPr="0085722A">
        <w:t>...</w:t>
      </w:r>
    </w:p>
    <w:p w:rsidR="007A2F6F" w:rsidRPr="0085722A" w:rsidRDefault="007A2F6F" w:rsidP="007A2F6F">
      <w:pPr>
        <w:pStyle w:val="JuQuot"/>
      </w:pPr>
      <w:r w:rsidRPr="0085722A">
        <w:t xml:space="preserve">The determination of the drafters of the new Criminal Code to produce a text imbued with the concept of human rights is particularly clear from the provisions of Articles 225-13 and 225-14 of the Code, which created new offences making it unlawful to impose working and living conditions that are contrary to human dignity. As demonstrated by the explanatory memorandum to the initial 1996 bill, the purpose of those provisions was primarily to combat </w:t>
      </w:r>
      <w:r w:rsidR="00C63C92">
        <w:t>'</w:t>
      </w:r>
      <w:r w:rsidRPr="0085722A">
        <w:t>slum landlords</w:t>
      </w:r>
      <w:r w:rsidR="00C63C92">
        <w:t>'</w:t>
      </w:r>
      <w:r w:rsidRPr="0085722A">
        <w:t xml:space="preserve"> or other unscrupulous entrepreneurs who shamelessly exploit foreign workers who are in the country illegally.</w:t>
      </w:r>
    </w:p>
    <w:p w:rsidR="007A2F6F" w:rsidRPr="0085722A" w:rsidRDefault="007A2F6F" w:rsidP="007A2F6F">
      <w:pPr>
        <w:pStyle w:val="JuQuot"/>
      </w:pPr>
      <w:r w:rsidRPr="0085722A">
        <w:t>...</w:t>
      </w:r>
    </w:p>
    <w:p w:rsidR="007A2F6F" w:rsidRPr="0085722A" w:rsidRDefault="007A2F6F" w:rsidP="007A2F6F">
      <w:pPr>
        <w:pStyle w:val="JuQuot"/>
      </w:pPr>
      <w:r w:rsidRPr="0085722A">
        <w:t>The concept, found in both Articles 225-13 and 225-14 of the Criminal Code, of the abuse of an individual</w:t>
      </w:r>
      <w:r w:rsidR="00C63C92">
        <w:t>'</w:t>
      </w:r>
      <w:r w:rsidRPr="0085722A">
        <w:t>s vulnerability or state of dependence contains ambiguities that could be prejudicial to their application.</w:t>
      </w:r>
    </w:p>
    <w:p w:rsidR="007A2F6F" w:rsidRPr="0085722A" w:rsidRDefault="007A2F6F" w:rsidP="007A2F6F">
      <w:pPr>
        <w:pStyle w:val="JuQuot"/>
      </w:pPr>
      <w:r w:rsidRPr="0085722A">
        <w:t>...</w:t>
      </w:r>
    </w:p>
    <w:p w:rsidR="007A2F6F" w:rsidRPr="0085722A" w:rsidRDefault="007A2F6F" w:rsidP="007A2F6F">
      <w:pPr>
        <w:pStyle w:val="JuQuot"/>
      </w:pPr>
      <w:r w:rsidRPr="0085722A">
        <w:t xml:space="preserve">Thus, by failing on the one hand to specify the possible categories of individuals defined as vulnerable and, further, by failing to require </w:t>
      </w:r>
      <w:r w:rsidR="00313CFF">
        <w:t xml:space="preserve">that the vulnerability be of a </w:t>
      </w:r>
      <w:r w:rsidR="00C63C92">
        <w:t>'</w:t>
      </w:r>
      <w:r w:rsidRPr="0085722A">
        <w:t>particu</w:t>
      </w:r>
      <w:r w:rsidR="00313CFF">
        <w:t>lar</w:t>
      </w:r>
      <w:r w:rsidR="00C63C92">
        <w:t>'</w:t>
      </w:r>
      <w:r w:rsidRPr="0085722A">
        <w:t xml:space="preserve"> nature, the legislature has conferred on Articles 225-13 and 225-14 an extremely wide, or even vague, scope, one that is likely to cover circumstances of vulnerability or dependence that are </w:t>
      </w:r>
      <w:r w:rsidR="00C63C92">
        <w:t>'</w:t>
      </w:r>
      <w:r w:rsidRPr="0085722A">
        <w:t>social or cultural in nature</w:t>
      </w:r>
      <w:r w:rsidR="00C63C92">
        <w:t>'</w:t>
      </w:r>
      <w:r w:rsidRPr="0085722A">
        <w:t>.</w:t>
      </w:r>
    </w:p>
    <w:p w:rsidR="007A2F6F" w:rsidRPr="0085722A" w:rsidRDefault="007A2F6F" w:rsidP="007A2F6F">
      <w:pPr>
        <w:pStyle w:val="JuQuot"/>
      </w:pPr>
      <w:r w:rsidRPr="0085722A">
        <w:t>...</w:t>
      </w:r>
    </w:p>
    <w:p w:rsidR="00C63C92" w:rsidRDefault="007A2F6F" w:rsidP="007A2F6F">
      <w:pPr>
        <w:pStyle w:val="JuQuot"/>
      </w:pPr>
      <w:r w:rsidRPr="0085722A">
        <w:t>The current wording of the Criminal C</w:t>
      </w:r>
      <w:r w:rsidR="00313CFF">
        <w:t xml:space="preserve">ode, especially that of Article </w:t>
      </w:r>
      <w:r w:rsidRPr="0085722A">
        <w:t xml:space="preserve">225-14, is highly ambiguous, since it requires, on the one hand, that the victim has been subjected to working or living conditions that are incompatible with human dignity and, on the other, that those conditions have been imposed through the </w:t>
      </w:r>
      <w:r w:rsidR="00C63C92">
        <w:t>'</w:t>
      </w:r>
      <w:r w:rsidRPr="0085722A">
        <w:t>abuse</w:t>
      </w:r>
      <w:r w:rsidR="00C63C92">
        <w:t>'</w:t>
      </w:r>
      <w:r w:rsidRPr="0085722A">
        <w:t xml:space="preserve"> of his or her vulnerability or state of dependency.</w:t>
      </w:r>
    </w:p>
    <w:p w:rsidR="007A2F6F" w:rsidRPr="00313CFF" w:rsidRDefault="007A2F6F" w:rsidP="007A2F6F">
      <w:pPr>
        <w:pStyle w:val="JuQuot"/>
      </w:pPr>
      <w:r w:rsidRPr="0085722A">
        <w:t>It may therefor</w:t>
      </w:r>
      <w:r w:rsidR="00313CFF">
        <w:t xml:space="preserve">e logically be concluded, as Mr </w:t>
      </w:r>
      <w:r w:rsidRPr="0085722A">
        <w:t>Guy Meyer, deputy public prosecutor at the Paris public prosecutor</w:t>
      </w:r>
      <w:r w:rsidR="00C63C92">
        <w:t>'</w:t>
      </w:r>
      <w:r w:rsidRPr="0085722A">
        <w:t xml:space="preserve">s office, </w:t>
      </w:r>
      <w:r w:rsidR="00313CFF">
        <w:t>stated before the t</w:t>
      </w:r>
      <w:r w:rsidRPr="0085722A">
        <w:t xml:space="preserve">askforce, that, </w:t>
      </w:r>
      <w:r w:rsidR="00C63C92">
        <w:t>'</w:t>
      </w:r>
      <w:r w:rsidRPr="00313CFF">
        <w:t>by converse implication</w:t>
      </w:r>
      <w:r w:rsidRPr="00313CFF">
        <w:rPr>
          <w:iCs/>
        </w:rPr>
        <w:t>... provided one has not taken advantage of [an individual</w:t>
      </w:r>
      <w:r w:rsidR="00C63C92">
        <w:rPr>
          <w:iCs/>
        </w:rPr>
        <w:t>'</w:t>
      </w:r>
      <w:r w:rsidRPr="00313CFF">
        <w:rPr>
          <w:iCs/>
        </w:rPr>
        <w:t>s] vulnerability, it is alright to undermine human dignity</w:t>
      </w:r>
      <w:r w:rsidR="00313CFF" w:rsidRPr="00313CFF">
        <w:rPr>
          <w:iCs/>
        </w:rPr>
        <w:t xml:space="preserve"> </w:t>
      </w:r>
      <w:r w:rsidR="001B73F7">
        <w:rPr>
          <w:iCs/>
        </w:rPr>
        <w:t>[</w:t>
      </w:r>
      <w:r w:rsidRPr="00313CFF">
        <w:t>...</w:t>
      </w:r>
      <w:r w:rsidR="001B73F7">
        <w:t>]</w:t>
      </w:r>
      <w:r w:rsidRPr="00313CFF">
        <w:t xml:space="preserve"> </w:t>
      </w:r>
      <w:r w:rsidRPr="00313CFF">
        <w:rPr>
          <w:iCs/>
        </w:rPr>
        <w:t>Undermining human dignity ought to be an offence in itself and, possibly, abuse of [an individual</w:t>
      </w:r>
      <w:r w:rsidR="00C63C92">
        <w:rPr>
          <w:iCs/>
        </w:rPr>
        <w:t>'</w:t>
      </w:r>
      <w:r w:rsidRPr="00313CFF">
        <w:rPr>
          <w:iCs/>
        </w:rPr>
        <w:t>s] vulnerability or status as a minor an aggravating factor</w:t>
      </w:r>
      <w:r w:rsidR="00C63C92">
        <w:rPr>
          <w:iCs/>
        </w:rPr>
        <w:t>'</w:t>
      </w:r>
      <w:r w:rsidRPr="00313CFF">
        <w:t>.</w:t>
      </w:r>
    </w:p>
    <w:p w:rsidR="007A2F6F" w:rsidRPr="00313CFF" w:rsidRDefault="007A2F6F" w:rsidP="007A2F6F">
      <w:pPr>
        <w:pStyle w:val="JuQuot"/>
      </w:pPr>
      <w:r w:rsidRPr="0085722A">
        <w:t>That said, and since the law is silent, it is up to the court to determine where the scope of those provisions ends. In this connection, analysis of the case-law reveals differences in evaluation that impede the uniform application of the law throughout France, since, as Ms Françoise Favaro rightly noted when addr</w:t>
      </w:r>
      <w:r w:rsidR="00313CFF">
        <w:t>essing the t</w:t>
      </w:r>
      <w:r w:rsidRPr="0085722A">
        <w:t xml:space="preserve">askforce: </w:t>
      </w:r>
      <w:r w:rsidR="00C63C92">
        <w:t>'</w:t>
      </w:r>
      <w:r w:rsidRPr="00313CFF">
        <w:t xml:space="preserve">We are </w:t>
      </w:r>
      <w:r w:rsidRPr="00313CFF">
        <w:rPr>
          <w:iCs/>
        </w:rPr>
        <w:t>in a sort of ephemeral haze in which everything is left to the judge</w:t>
      </w:r>
      <w:r w:rsidR="00C63C92">
        <w:rPr>
          <w:iCs/>
        </w:rPr>
        <w:t>'</w:t>
      </w:r>
      <w:r w:rsidRPr="00313CFF">
        <w:rPr>
          <w:iCs/>
        </w:rPr>
        <w:t>s assessment</w:t>
      </w:r>
      <w:r w:rsidR="00313CFF">
        <w:rPr>
          <w:iCs/>
        </w:rPr>
        <w:t>.</w:t>
      </w:r>
      <w:r w:rsidR="00C63C92">
        <w:rPr>
          <w:iCs/>
        </w:rPr>
        <w:t>'</w:t>
      </w:r>
    </w:p>
    <w:p w:rsidR="007A2F6F" w:rsidRPr="0085722A" w:rsidRDefault="007A2F6F" w:rsidP="007A2F6F">
      <w:pPr>
        <w:pStyle w:val="JuQuot"/>
      </w:pPr>
      <w:r w:rsidRPr="0085722A">
        <w:t>...</w:t>
      </w:r>
    </w:p>
    <w:p w:rsidR="007A2F6F" w:rsidRPr="0085722A" w:rsidRDefault="0076696D" w:rsidP="007A2F6F">
      <w:pPr>
        <w:pStyle w:val="JuQuot"/>
      </w:pPr>
      <w:r>
        <w:t xml:space="preserve">Even more surprisingly, on </w:t>
      </w:r>
      <w:smartTag w:uri="urn:schemas-microsoft-com:office:smarttags" w:element="date">
        <w:smartTagPr>
          <w:attr w:name="Month" w:val="10"/>
          <w:attr w:name="Day" w:val="19"/>
          <w:attr w:name="Year" w:val="2000"/>
        </w:smartTagPr>
        <w:r>
          <w:t xml:space="preserve">19 October </w:t>
        </w:r>
        <w:r w:rsidR="007A2F6F" w:rsidRPr="0085722A">
          <w:t>2000</w:t>
        </w:r>
      </w:smartTag>
      <w:r w:rsidR="007A2F6F" w:rsidRPr="0085722A">
        <w:t xml:space="preserve"> the same </w:t>
      </w:r>
      <w:r w:rsidR="00EC06DB">
        <w:t>c</w:t>
      </w:r>
      <w:r w:rsidR="007A2F6F" w:rsidRPr="0085722A">
        <w:t xml:space="preserve">ourt of </w:t>
      </w:r>
      <w:r w:rsidR="00EC06DB">
        <w:t>a</w:t>
      </w:r>
      <w:r w:rsidR="007A2F6F" w:rsidRPr="0085722A">
        <w:t xml:space="preserve">ppeal refused in another case to apply the provisions of Articles 225-13 and 225-14 in favour of a young woman, a domestic slave, despite the fact that she was a minor at the relevant time. In its judgment, the court noted, </w:t>
      </w:r>
      <w:r w:rsidR="007A2F6F" w:rsidRPr="0085722A">
        <w:rPr>
          <w:i/>
        </w:rPr>
        <w:t>inter alia</w:t>
      </w:r>
      <w:r w:rsidR="007A2F6F" w:rsidRPr="0085722A">
        <w:t xml:space="preserve">: </w:t>
      </w:r>
      <w:r w:rsidR="00C63C92">
        <w:t>'</w:t>
      </w:r>
      <w:r w:rsidR="007A2F6F" w:rsidRPr="0085722A">
        <w:t>It ha</w:t>
      </w:r>
      <w:r w:rsidR="00EC06DB">
        <w:t>s</w:t>
      </w:r>
      <w:r w:rsidR="007A2F6F" w:rsidRPr="0085722A">
        <w:t xml:space="preserve"> not been established that the </w:t>
      </w:r>
      <w:r w:rsidR="00EC06DB">
        <w:t>young girl</w:t>
      </w:r>
      <w:r w:rsidR="00EC06DB" w:rsidRPr="0085722A">
        <w:t xml:space="preserve"> </w:t>
      </w:r>
      <w:r w:rsidR="007A2F6F" w:rsidRPr="0085722A">
        <w:t>was in a position of vulnerability or dependence as, by taking advantage of the possibility of coming and going at will, contacting her family at any time, leaving Mr and Mrs X</w:t>
      </w:r>
      <w:r w:rsidR="00C63C92">
        <w:t>'</w:t>
      </w:r>
      <w:r w:rsidR="007A2F6F" w:rsidRPr="0085722A">
        <w:t xml:space="preserve">s home for a considerable period and returning without coercion, </w:t>
      </w:r>
      <w:r w:rsidR="00EC06DB">
        <w:t>she has</w:t>
      </w:r>
      <w:r w:rsidR="007A2F6F" w:rsidRPr="0085722A">
        <w:t xml:space="preserve">, in spite of her youth, shown an undeniable form of independence, and vulnerability </w:t>
      </w:r>
      <w:r w:rsidR="00EC06DB">
        <w:t>cannot</w:t>
      </w:r>
      <w:r w:rsidR="007A2F6F" w:rsidRPr="0085722A">
        <w:t xml:space="preserve"> be established merely on the basis that she was an alien</w:t>
      </w:r>
      <w:r w:rsidR="00313CFF">
        <w:t>.</w:t>
      </w:r>
      <w:r w:rsidR="00C63C92">
        <w:t>'</w:t>
      </w:r>
    </w:p>
    <w:p w:rsidR="007A2F6F" w:rsidRPr="0085722A" w:rsidRDefault="007A2F6F" w:rsidP="007A2F6F">
      <w:pPr>
        <w:pStyle w:val="JuQuot"/>
      </w:pPr>
      <w:r w:rsidRPr="0085722A">
        <w:t>It is therefore apparent that, in the absence of legal criteria enabling the courts to determine whether there has been abuse of [an individual</w:t>
      </w:r>
      <w:r w:rsidR="00C63C92">
        <w:t>'</w:t>
      </w:r>
      <w:r w:rsidRPr="0085722A">
        <w:t>s] vulnerability or state of dependence, the provisions of Articles 225-13 and 225-14 of the Criminal Code are open to interpretation in different ways, some more restrictive than others.</w:t>
      </w:r>
    </w:p>
    <w:p w:rsidR="007A2F6F" w:rsidRPr="0085722A" w:rsidRDefault="007A2F6F" w:rsidP="007A2F6F">
      <w:pPr>
        <w:pStyle w:val="JuQuot"/>
        <w:rPr>
          <w:rFonts w:ascii="Arial" w:hAnsi="Arial" w:cs="Arial"/>
        </w:rPr>
      </w:pPr>
      <w:r w:rsidRPr="0085722A">
        <w:t>...</w:t>
      </w:r>
    </w:p>
    <w:p w:rsidR="007A2F6F" w:rsidRPr="0085722A" w:rsidRDefault="007A2F6F" w:rsidP="007A2F6F">
      <w:pPr>
        <w:pStyle w:val="JuQuot"/>
      </w:pPr>
      <w:r w:rsidRPr="0085722A">
        <w:t>Whether with regard to actual or potential sentences, the shortcomings of the provisions are clearly visible, in view of the seriousness of the factual elements characteristic of modern slavery.</w:t>
      </w:r>
    </w:p>
    <w:p w:rsidR="007A2F6F" w:rsidRPr="0085722A" w:rsidRDefault="007A2F6F" w:rsidP="007A2F6F">
      <w:pPr>
        <w:pStyle w:val="JuQuot"/>
        <w:rPr>
          <w:rFonts w:ascii="Arial" w:hAnsi="Arial" w:cs="Arial"/>
        </w:rPr>
      </w:pPr>
      <w:r w:rsidRPr="0085722A">
        <w:t>...</w:t>
      </w:r>
    </w:p>
    <w:p w:rsidR="007A2F6F" w:rsidRPr="0085722A" w:rsidRDefault="007A2F6F" w:rsidP="007A2F6F">
      <w:pPr>
        <w:pStyle w:val="JuQuot"/>
      </w:pPr>
      <w:r w:rsidRPr="0085722A">
        <w:t>Bearing in mind, on the one hand, the constitutional status of the values protected by Articles 225-13 and 225-14 of the Criminal Code and, on the other, the seriousness of the offences in such cases, the inconsequential nature of the penalties faced by those guilty of them is surprising, and raises questions about the priorities of the French criminal</w:t>
      </w:r>
      <w:r w:rsidR="0091562A">
        <w:t xml:space="preserve"> </w:t>
      </w:r>
      <w:r w:rsidRPr="0085722A">
        <w:t>justice system.</w:t>
      </w:r>
    </w:p>
    <w:p w:rsidR="007A2F6F" w:rsidRPr="0085722A" w:rsidRDefault="007A2F6F" w:rsidP="007A2F6F">
      <w:pPr>
        <w:pStyle w:val="JuQuot"/>
      </w:pPr>
      <w:r w:rsidRPr="0085722A">
        <w:t>...</w:t>
      </w:r>
    </w:p>
    <w:p w:rsidR="007A2F6F" w:rsidRPr="0085722A" w:rsidRDefault="007A2F6F" w:rsidP="007A2F6F">
      <w:pPr>
        <w:pStyle w:val="JuQuot"/>
      </w:pPr>
      <w:r w:rsidRPr="0085722A">
        <w:t>The minors whose cases the taskforce has had to examine are minors caught up or at risk of being caught up in slavery, whether for the provision of sex or labour. More often than not they are illegal immigrants.”</w:t>
      </w:r>
    </w:p>
    <w:p w:rsidR="00BD3601" w:rsidRPr="0085722A" w:rsidRDefault="00BD3601" w:rsidP="0091562A">
      <w:pPr>
        <w:pStyle w:val="JuHA"/>
      </w:pPr>
      <w:r w:rsidRPr="00E959FF">
        <w:rPr>
          <w:b w:val="0"/>
        </w:rPr>
        <w:fldChar w:fldCharType="begin"/>
      </w:r>
      <w:r w:rsidRPr="00E959FF">
        <w:rPr>
          <w:b w:val="0"/>
        </w:rPr>
        <w:instrText xml:space="preserve"> SEQ level0 \*arabic </w:instrText>
      </w:r>
      <w:r w:rsidRPr="00E959FF">
        <w:rPr>
          <w:b w:val="0"/>
        </w:rPr>
        <w:fldChar w:fldCharType="separate"/>
      </w:r>
      <w:r w:rsidR="00E97C1C">
        <w:rPr>
          <w:b w:val="0"/>
          <w:noProof/>
        </w:rPr>
        <w:t>49</w:t>
      </w:r>
      <w:r w:rsidRPr="00E959FF">
        <w:rPr>
          <w:b w:val="0"/>
        </w:rPr>
        <w:fldChar w:fldCharType="end"/>
      </w:r>
      <w:r w:rsidRPr="00E959FF">
        <w:rPr>
          <w:b w:val="0"/>
        </w:rPr>
        <w:t>. </w:t>
      </w:r>
      <w:r w:rsidRPr="0085722A">
        <w:t> </w:t>
      </w:r>
      <w:r w:rsidR="006A5017">
        <w:t>D</w:t>
      </w:r>
      <w:r w:rsidR="007A2F6F" w:rsidRPr="0085722A">
        <w:t xml:space="preserve">ocuments of the Parliamentary Assembly of the Council of </w:t>
      </w:r>
      <w:smartTag w:uri="urn:schemas-microsoft-com:office:smarttags" w:element="place">
        <w:r w:rsidR="007A2F6F" w:rsidRPr="0085722A">
          <w:t>Europe</w:t>
        </w:r>
      </w:smartTag>
    </w:p>
    <w:p w:rsidR="007A2F6F" w:rsidRPr="0085722A" w:rsidRDefault="006A5017" w:rsidP="0091562A">
      <w:pPr>
        <w:pStyle w:val="JuH1"/>
        <w:rPr>
          <w:szCs w:val="24"/>
        </w:rPr>
      </w:pPr>
      <w:r>
        <w:t>(a)</w:t>
      </w:r>
      <w:r w:rsidR="0091562A">
        <w:t>  </w:t>
      </w:r>
      <w:r w:rsidR="007A2F6F" w:rsidRPr="0085722A">
        <w:t xml:space="preserve">Report by the Committee on Equal Opportunities for Women and Men, </w:t>
      </w:r>
      <w:r w:rsidR="007A2F6F" w:rsidRPr="0085722A">
        <w:rPr>
          <w:szCs w:val="24"/>
        </w:rPr>
        <w:t>dated 17 May 2001</w:t>
      </w:r>
      <w:r w:rsidR="0091562A">
        <w:rPr>
          <w:szCs w:val="24"/>
        </w:rPr>
        <w:t xml:space="preserve"> </w:t>
      </w:r>
      <w:r w:rsidR="007A2F6F" w:rsidRPr="0085722A">
        <w:rPr>
          <w:szCs w:val="24"/>
        </w:rPr>
        <w:t>(extract)</w:t>
      </w:r>
    </w:p>
    <w:p w:rsidR="007A2F6F" w:rsidRPr="0085722A" w:rsidRDefault="007A2F6F" w:rsidP="007A2F6F">
      <w:pPr>
        <w:pStyle w:val="JuQuot"/>
      </w:pPr>
      <w:r w:rsidRPr="0085722A">
        <w:t xml:space="preserve">“In </w:t>
      </w:r>
      <w:smartTag w:uri="urn:schemas-microsoft-com:office:smarttags" w:element="country-region">
        <w:r w:rsidRPr="0085722A">
          <w:t>France</w:t>
        </w:r>
      </w:smartTag>
      <w:r w:rsidRPr="0085722A">
        <w:t>, since its foundation in 1994</w:t>
      </w:r>
      <w:r w:rsidR="001B73F7">
        <w:t>,</w:t>
      </w:r>
      <w:r w:rsidRPr="0085722A">
        <w:t xml:space="preserve"> the Committee against Modern Slavery (CCEM) has taken up the cases of over 200 domestic slavery victims, mostly originating from West Africa (</w:t>
      </w:r>
      <w:smartTag w:uri="urn:schemas-microsoft-com:office:smarttags" w:element="country-region">
        <w:r w:rsidRPr="0085722A">
          <w:t>Ivory Coast</w:t>
        </w:r>
      </w:smartTag>
      <w:r w:rsidRPr="0085722A">
        <w:t xml:space="preserve">, </w:t>
      </w:r>
      <w:smartTag w:uri="urn:schemas-microsoft-com:office:smarttags" w:element="country-region">
        <w:r w:rsidRPr="0085722A">
          <w:t>Togo</w:t>
        </w:r>
      </w:smartTag>
      <w:r w:rsidRPr="0085722A">
        <w:t xml:space="preserve">, </w:t>
      </w:r>
      <w:smartTag w:uri="urn:schemas-microsoft-com:office:smarttags" w:element="country-region">
        <w:r w:rsidRPr="0085722A">
          <w:t>Benin</w:t>
        </w:r>
      </w:smartTag>
      <w:r w:rsidRPr="0085722A">
        <w:t xml:space="preserve">) but also from </w:t>
      </w:r>
      <w:smartTag w:uri="urn:schemas-microsoft-com:office:smarttags" w:element="country-region">
        <w:r w:rsidRPr="0085722A">
          <w:t>Madagascar</w:t>
        </w:r>
      </w:smartTag>
      <w:r w:rsidRPr="0085722A">
        <w:t xml:space="preserve">, </w:t>
      </w:r>
      <w:smartTag w:uri="urn:schemas-microsoft-com:office:smarttags" w:element="country-region">
        <w:r w:rsidRPr="0085722A">
          <w:t>Morocco</w:t>
        </w:r>
      </w:smartTag>
      <w:r w:rsidRPr="0085722A">
        <w:t xml:space="preserve">, </w:t>
      </w:r>
      <w:smartTag w:uri="urn:schemas-microsoft-com:office:smarttags" w:element="country-region">
        <w:r w:rsidRPr="0085722A">
          <w:t>India</w:t>
        </w:r>
      </w:smartTag>
      <w:r w:rsidRPr="0085722A">
        <w:t xml:space="preserve">, </w:t>
      </w:r>
      <w:smartTag w:uri="urn:schemas-microsoft-com:office:smarttags" w:element="country-region">
        <w:r w:rsidRPr="0085722A">
          <w:t>Sri Lanka</w:t>
        </w:r>
      </w:smartTag>
      <w:r w:rsidRPr="0085722A">
        <w:t xml:space="preserve"> and the </w:t>
      </w:r>
      <w:smartTag w:uri="urn:schemas-microsoft-com:office:smarttags" w:element="place">
        <w:smartTag w:uri="urn:schemas-microsoft-com:office:smarttags" w:element="country-region">
          <w:r w:rsidRPr="0085722A">
            <w:t>Philippines</w:t>
          </w:r>
        </w:smartTag>
      </w:smartTag>
      <w:r w:rsidRPr="0085722A">
        <w:t xml:space="preserve">. The majority of victims were women (95%). One-third arrived in </w:t>
      </w:r>
      <w:smartTag w:uri="urn:schemas-microsoft-com:office:smarttags" w:element="place">
        <w:smartTag w:uri="urn:schemas-microsoft-com:office:smarttags" w:element="country-region">
          <w:r w:rsidRPr="0085722A">
            <w:t>France</w:t>
          </w:r>
        </w:smartTag>
      </w:smartTag>
      <w:r w:rsidRPr="0085722A">
        <w:t xml:space="preserve"> before they came of age and most of them suffered physical violence or sexual abuse.</w:t>
      </w:r>
    </w:p>
    <w:p w:rsidR="007A2F6F" w:rsidRPr="0085722A" w:rsidRDefault="007A2F6F" w:rsidP="007A2F6F">
      <w:pPr>
        <w:pStyle w:val="JuQuot"/>
      </w:pPr>
      <w:r w:rsidRPr="0085722A">
        <w:t xml:space="preserve">The employers mostly came from West Africa or the </w:t>
      </w:r>
      <w:smartTag w:uri="urn:schemas-microsoft-com:office:smarttags" w:element="place">
        <w:r w:rsidRPr="0085722A">
          <w:t>Middle East</w:t>
        </w:r>
      </w:smartTag>
      <w:r w:rsidRPr="0085722A">
        <w:t xml:space="preserve">. 20% are French nationals. 20% enjoyed immunity from prosecution, among them one diplomat from </w:t>
      </w:r>
      <w:smartTag w:uri="urn:schemas-microsoft-com:office:smarttags" w:element="place">
        <w:smartTag w:uri="urn:schemas-microsoft-com:office:smarttags" w:element="country-region">
          <w:r w:rsidRPr="0085722A">
            <w:t>Italy</w:t>
          </w:r>
        </w:smartTag>
      </w:smartTag>
      <w:r w:rsidRPr="0085722A">
        <w:t xml:space="preserve"> and five French diplomats in post abroad. Victims working for diplomats mainly come from </w:t>
      </w:r>
      <w:smartTag w:uri="urn:schemas-microsoft-com:office:smarttags" w:element="country-region">
        <w:r w:rsidRPr="0085722A">
          <w:t>India</w:t>
        </w:r>
      </w:smartTag>
      <w:r w:rsidRPr="0085722A">
        <w:t xml:space="preserve">, </w:t>
      </w:r>
      <w:smartTag w:uri="urn:schemas-microsoft-com:office:smarttags" w:element="country-region">
        <w:r w:rsidRPr="0085722A">
          <w:t>Indonesia</w:t>
        </w:r>
      </w:smartTag>
      <w:r w:rsidRPr="0085722A">
        <w:t xml:space="preserve">, the </w:t>
      </w:r>
      <w:smartTag w:uri="urn:schemas-microsoft-com:office:smarttags" w:element="country-region">
        <w:r w:rsidRPr="0085722A">
          <w:t>Philippines</w:t>
        </w:r>
      </w:smartTag>
      <w:r w:rsidRPr="0085722A">
        <w:t xml:space="preserve"> and </w:t>
      </w:r>
      <w:smartTag w:uri="urn:schemas-microsoft-com:office:smarttags" w:element="place">
        <w:smartTag w:uri="urn:schemas-microsoft-com:office:smarttags" w:element="country-region">
          <w:r w:rsidRPr="0085722A">
            <w:t>Sri Lanka</w:t>
          </w:r>
        </w:smartTag>
      </w:smartTag>
      <w:r w:rsidRPr="0085722A">
        <w:t xml:space="preserve">. It has been estimated that there are several thousand victims of domestic slavery in </w:t>
      </w:r>
      <w:smartTag w:uri="urn:schemas-microsoft-com:office:smarttags" w:element="place">
        <w:smartTag w:uri="urn:schemas-microsoft-com:office:smarttags" w:element="country-region">
          <w:r w:rsidRPr="0085722A">
            <w:t>France</w:t>
          </w:r>
        </w:smartTag>
      </w:smartTag>
      <w:r w:rsidRPr="0085722A">
        <w:t>.”</w:t>
      </w:r>
    </w:p>
    <w:p w:rsidR="007A2F6F" w:rsidRPr="0085722A" w:rsidRDefault="006A5017" w:rsidP="0091562A">
      <w:pPr>
        <w:pStyle w:val="JuH1"/>
      </w:pPr>
      <w:r>
        <w:t>(b)</w:t>
      </w:r>
      <w:r w:rsidR="0091562A">
        <w:t>  </w:t>
      </w:r>
      <w:r w:rsidR="007A2F6F" w:rsidRPr="0085722A">
        <w:t>Recommendation 1523 (2001), adopted on 26 June 2001</w:t>
      </w:r>
    </w:p>
    <w:p w:rsidR="007A2F6F" w:rsidRPr="0085722A" w:rsidRDefault="0091562A" w:rsidP="007A2F6F">
      <w:pPr>
        <w:pStyle w:val="JuQuot"/>
      </w:pPr>
      <w:r>
        <w:t>“1.  </w:t>
      </w:r>
      <w:r w:rsidR="007A2F6F" w:rsidRPr="0085722A">
        <w:t xml:space="preserve">In the last few years a new form of slavery has appeared in </w:t>
      </w:r>
      <w:smartTag w:uri="urn:schemas-microsoft-com:office:smarttags" w:element="place">
        <w:r w:rsidR="007A2F6F" w:rsidRPr="0085722A">
          <w:t>Europe</w:t>
        </w:r>
      </w:smartTag>
      <w:r w:rsidR="007A2F6F" w:rsidRPr="0085722A">
        <w:t>, namely domestic slavery. It has been established that over 4 million women are sold each year in the world.</w:t>
      </w:r>
    </w:p>
    <w:p w:rsidR="007A2F6F" w:rsidRPr="0085722A" w:rsidRDefault="0091562A" w:rsidP="007A2F6F">
      <w:pPr>
        <w:pStyle w:val="JuQuot"/>
      </w:pPr>
      <w:r>
        <w:t>2.  </w:t>
      </w:r>
      <w:r w:rsidR="007A2F6F" w:rsidRPr="0085722A">
        <w:t xml:space="preserve">In this connection the Assembly recalls and reaffirms Article 4, paragraph 1 of the Convention for the Protection of Human Rights and Fundamental Freedoms (ECHR), which prohibits slavery and servitude, and also the definition of slavery derived from the opinions and judgments of the European Commission of Human Rights and the </w:t>
      </w:r>
      <w:r>
        <w:t>European Court of Human Rights.</w:t>
      </w:r>
    </w:p>
    <w:p w:rsidR="007A2F6F" w:rsidRDefault="0091562A" w:rsidP="007A2F6F">
      <w:pPr>
        <w:pStyle w:val="JuQuot"/>
      </w:pPr>
      <w:r>
        <w:t>3.  </w:t>
      </w:r>
      <w:r w:rsidR="007A2F6F" w:rsidRPr="0085722A">
        <w:t>The Assembly also recalls Article 3 of the ECHR, which provides that no one shall be subjected to torture or to inhuman or degrading treatment or punishment, and Article 6, which proclaims the right of access to a court in civil and criminal matters, including cases where the employer enj</w:t>
      </w:r>
      <w:r>
        <w:t>oys immunity from jurisdiction.</w:t>
      </w:r>
    </w:p>
    <w:p w:rsidR="0091562A" w:rsidRPr="0085722A" w:rsidRDefault="0091562A" w:rsidP="007A2F6F">
      <w:pPr>
        <w:pStyle w:val="JuQuot"/>
      </w:pPr>
      <w:r w:rsidRPr="0085722A">
        <w:t>...</w:t>
      </w:r>
    </w:p>
    <w:p w:rsidR="007A2F6F" w:rsidRPr="0085722A" w:rsidRDefault="007A2F6F" w:rsidP="007A2F6F">
      <w:pPr>
        <w:pStyle w:val="JuQuot"/>
      </w:pPr>
      <w:r w:rsidRPr="0085722A">
        <w:t>5.</w:t>
      </w:r>
      <w:r w:rsidR="0091562A">
        <w:t> </w:t>
      </w:r>
      <w:r w:rsidRPr="0085722A">
        <w:t> It notes that the victims</w:t>
      </w:r>
      <w:r w:rsidR="00C63C92">
        <w:t>'</w:t>
      </w:r>
      <w:r w:rsidRPr="0085722A">
        <w:t xml:space="preserve"> passports are systematically confiscated, leaving them in a situation of total vulnerability with regard to their employers, and sometimes in a situation bordering on imprisonment, where they are subjected to physical and/or sexual violence.</w:t>
      </w:r>
    </w:p>
    <w:p w:rsidR="007A2F6F" w:rsidRPr="0085722A" w:rsidRDefault="007A2F6F" w:rsidP="007A2F6F">
      <w:pPr>
        <w:pStyle w:val="JuQuot"/>
      </w:pPr>
      <w:r w:rsidRPr="0085722A">
        <w:t>6. </w:t>
      </w:r>
      <w:r w:rsidR="0091562A">
        <w:t> </w:t>
      </w:r>
      <w:r w:rsidRPr="0085722A">
        <w:t>Most of the victims of this new form of slavery are in an illegal situation, having been recruited by agencies and having borrowed money to pay for their journey.</w:t>
      </w:r>
    </w:p>
    <w:p w:rsidR="007A2F6F" w:rsidRDefault="007A2F6F" w:rsidP="007A2F6F">
      <w:pPr>
        <w:pStyle w:val="JuQuot"/>
      </w:pPr>
      <w:r w:rsidRPr="0085722A">
        <w:t>7. </w:t>
      </w:r>
      <w:r w:rsidR="0091562A">
        <w:t> </w:t>
      </w:r>
      <w:r w:rsidRPr="0085722A">
        <w:t>The physical and emotional isolation in which the victims find themselves, coupled with fear of the outside world, causes psychological problems which persist after their release and leave them completely disoriented.</w:t>
      </w:r>
    </w:p>
    <w:p w:rsidR="0091562A" w:rsidRPr="0085722A" w:rsidRDefault="0091562A" w:rsidP="007A2F6F">
      <w:pPr>
        <w:pStyle w:val="JuQuot"/>
      </w:pPr>
      <w:r w:rsidRPr="0085722A">
        <w:t>...</w:t>
      </w:r>
    </w:p>
    <w:p w:rsidR="007A2F6F" w:rsidRPr="0085722A" w:rsidRDefault="007A2F6F" w:rsidP="007A2F6F">
      <w:pPr>
        <w:pStyle w:val="JuQuot"/>
      </w:pPr>
      <w:r w:rsidRPr="0085722A">
        <w:t>9. </w:t>
      </w:r>
      <w:r w:rsidR="0091562A">
        <w:t> </w:t>
      </w:r>
      <w:r w:rsidRPr="0085722A">
        <w:t xml:space="preserve">It regrets that none of the Council of Europe member </w:t>
      </w:r>
      <w:r w:rsidR="001B73F7">
        <w:t>S</w:t>
      </w:r>
      <w:r w:rsidRPr="0085722A">
        <w:t>tates expressly make domestic slavery an offence in their criminal codes.</w:t>
      </w:r>
    </w:p>
    <w:p w:rsidR="007A2F6F" w:rsidRPr="0085722A" w:rsidRDefault="007A2F6F" w:rsidP="007A2F6F">
      <w:pPr>
        <w:pStyle w:val="JuQuot"/>
      </w:pPr>
      <w:r w:rsidRPr="0085722A">
        <w:t>10. </w:t>
      </w:r>
      <w:r w:rsidR="0091562A">
        <w:t> </w:t>
      </w:r>
      <w:r w:rsidRPr="0085722A">
        <w:t xml:space="preserve">It accordingly recommends that the Committee of Ministers ask the governments of member </w:t>
      </w:r>
      <w:r w:rsidR="001B73F7">
        <w:t>S</w:t>
      </w:r>
      <w:r w:rsidRPr="0085722A">
        <w:t>tates to:</w:t>
      </w:r>
    </w:p>
    <w:p w:rsidR="007A2F6F" w:rsidRPr="0085722A" w:rsidRDefault="007A2F6F" w:rsidP="0091562A">
      <w:pPr>
        <w:pStyle w:val="JuQuot"/>
        <w:ind w:left="426" w:firstLine="141"/>
      </w:pPr>
      <w:r w:rsidRPr="0085722A">
        <w:t>i. </w:t>
      </w:r>
      <w:r w:rsidR="0091562A">
        <w:t> </w:t>
      </w:r>
      <w:r w:rsidRPr="0085722A">
        <w:t>make slavery and trafficking in human beings, and also forced marriage, offences in their criminal codes;</w:t>
      </w:r>
    </w:p>
    <w:p w:rsidR="007A2F6F" w:rsidRDefault="0091562A" w:rsidP="0091562A">
      <w:pPr>
        <w:pStyle w:val="JuQuot"/>
        <w:ind w:left="426" w:firstLine="141"/>
      </w:pPr>
      <w:r>
        <w:t>ii.  </w:t>
      </w:r>
      <w:r w:rsidR="007A2F6F" w:rsidRPr="0085722A">
        <w:t>strengthen border controls and harmonise policies for police cooperation, especially with respect to minors;</w:t>
      </w:r>
    </w:p>
    <w:p w:rsidR="0091562A" w:rsidRPr="0085722A" w:rsidRDefault="0091562A" w:rsidP="0091562A">
      <w:pPr>
        <w:pStyle w:val="JuQuot"/>
        <w:ind w:left="426" w:firstLine="141"/>
      </w:pPr>
      <w:r w:rsidRPr="0085722A">
        <w:t>...</w:t>
      </w:r>
    </w:p>
    <w:p w:rsidR="007A2F6F" w:rsidRPr="0085722A" w:rsidRDefault="0091562A" w:rsidP="0091562A">
      <w:pPr>
        <w:pStyle w:val="JuQuot"/>
      </w:pPr>
      <w:r>
        <w:t>vi.  </w:t>
      </w:r>
      <w:r w:rsidR="007A2F6F" w:rsidRPr="0085722A">
        <w:t>protect the rights of victims of domestic slavery by:</w:t>
      </w:r>
    </w:p>
    <w:p w:rsidR="007A2F6F" w:rsidRPr="0085722A" w:rsidRDefault="0091562A" w:rsidP="0091562A">
      <w:pPr>
        <w:pStyle w:val="JuQuot"/>
        <w:ind w:left="567" w:firstLine="139"/>
      </w:pPr>
      <w:r>
        <w:t>a.  </w:t>
      </w:r>
      <w:r w:rsidR="007A2F6F" w:rsidRPr="0085722A">
        <w:t>generalising the issuing of temporary and renewable residence permits on humanitarian grounds;</w:t>
      </w:r>
    </w:p>
    <w:p w:rsidR="007A2F6F" w:rsidRPr="0085722A" w:rsidRDefault="0091562A" w:rsidP="0091562A">
      <w:pPr>
        <w:pStyle w:val="JuQuot"/>
        <w:ind w:left="567"/>
      </w:pPr>
      <w:r>
        <w:t>b.  </w:t>
      </w:r>
      <w:r w:rsidR="007A2F6F" w:rsidRPr="0085722A">
        <w:t>taking steps to provide them with protection and with social, administrative and legal assistance;</w:t>
      </w:r>
    </w:p>
    <w:p w:rsidR="007A2F6F" w:rsidRPr="0085722A" w:rsidRDefault="0091562A" w:rsidP="0091562A">
      <w:pPr>
        <w:pStyle w:val="JuQuot"/>
        <w:ind w:left="567" w:firstLine="139"/>
      </w:pPr>
      <w:r>
        <w:t>c.  </w:t>
      </w:r>
      <w:r w:rsidR="007A2F6F" w:rsidRPr="0085722A">
        <w:t>taking steps for their rehabilitation and their reintegration, including the creation of centres to assist, among others, victims of domestic slavery;</w:t>
      </w:r>
    </w:p>
    <w:p w:rsidR="007A2F6F" w:rsidRPr="0085722A" w:rsidRDefault="0091562A" w:rsidP="0091562A">
      <w:pPr>
        <w:pStyle w:val="JuQuot"/>
        <w:ind w:left="0" w:firstLine="706"/>
      </w:pPr>
      <w:r>
        <w:t>d.  </w:t>
      </w:r>
      <w:r w:rsidR="007A2F6F" w:rsidRPr="0085722A">
        <w:t>developing specific programmes for their protection;</w:t>
      </w:r>
    </w:p>
    <w:p w:rsidR="007A2F6F" w:rsidRPr="0085722A" w:rsidRDefault="0091562A" w:rsidP="0091562A">
      <w:pPr>
        <w:pStyle w:val="JuQuot"/>
        <w:ind w:firstLine="281"/>
      </w:pPr>
      <w:r>
        <w:t>e.  </w:t>
      </w:r>
      <w:r w:rsidR="007A2F6F" w:rsidRPr="0085722A">
        <w:t>increasing victims</w:t>
      </w:r>
      <w:r w:rsidR="00C63C92">
        <w:t>'</w:t>
      </w:r>
      <w:r w:rsidR="007A2F6F" w:rsidRPr="0085722A">
        <w:t xml:space="preserve"> time limits for bringing proceedings for offences of slavery;</w:t>
      </w:r>
    </w:p>
    <w:p w:rsidR="0091562A" w:rsidRDefault="0091562A" w:rsidP="0091562A">
      <w:pPr>
        <w:pStyle w:val="JuQuot"/>
        <w:ind w:firstLine="281"/>
      </w:pPr>
      <w:r>
        <w:t>f.  </w:t>
      </w:r>
      <w:r w:rsidR="007A2F6F" w:rsidRPr="0085722A">
        <w:t>establishing compensation funds for the victims of slavery;</w:t>
      </w:r>
    </w:p>
    <w:p w:rsidR="007A2F6F" w:rsidRPr="0085722A" w:rsidRDefault="007A2F6F" w:rsidP="0091562A">
      <w:pPr>
        <w:pStyle w:val="JuQuot"/>
        <w:ind w:firstLine="281"/>
      </w:pPr>
      <w:r w:rsidRPr="0085722A">
        <w:t>...”</w:t>
      </w:r>
    </w:p>
    <w:p w:rsidR="007A2F6F" w:rsidRPr="0085722A" w:rsidRDefault="006A5017" w:rsidP="0091562A">
      <w:pPr>
        <w:pStyle w:val="JuH1"/>
      </w:pPr>
      <w:r>
        <w:t>(c)</w:t>
      </w:r>
      <w:r w:rsidR="0091562A">
        <w:t>  </w:t>
      </w:r>
      <w:r w:rsidR="007A2F6F" w:rsidRPr="0085722A">
        <w:t>Recommendation 1663 (2004), adopted on 22 June 2004</w:t>
      </w:r>
    </w:p>
    <w:p w:rsidR="007A2F6F" w:rsidRPr="0085722A" w:rsidRDefault="007A2F6F" w:rsidP="007A2F6F">
      <w:pPr>
        <w:pStyle w:val="JuQuot"/>
      </w:pPr>
      <w:r w:rsidRPr="0085722A">
        <w:t>“1. </w:t>
      </w:r>
      <w:r w:rsidR="0091562A">
        <w:t> </w:t>
      </w:r>
      <w:r w:rsidRPr="0085722A">
        <w:t xml:space="preserve">The Parliamentary Assembly is dismayed that slavery continues to exist in </w:t>
      </w:r>
      <w:smartTag w:uri="urn:schemas-microsoft-com:office:smarttags" w:element="place">
        <w:r w:rsidRPr="0085722A">
          <w:t>Europe</w:t>
        </w:r>
      </w:smartTag>
      <w:r w:rsidRPr="0085722A">
        <w:t xml:space="preserve"> in the twenty-first century. Although, officially, slavery was abolished over 150 years ago, thousands of people are still held as slaves in </w:t>
      </w:r>
      <w:smartTag w:uri="urn:schemas-microsoft-com:office:smarttags" w:element="place">
        <w:r w:rsidRPr="0085722A">
          <w:t>Europe</w:t>
        </w:r>
      </w:smartTag>
      <w:r w:rsidRPr="0085722A">
        <w:t>, treated as objects, humiliated and abused. Modern slaves, like their counterparts of old, are forced to work (through mental or physical threat) with no or little financial reward. They are physically constrained or have other limits placed on their freedom of movement and are treated in a degrading and inhumane manner.</w:t>
      </w:r>
    </w:p>
    <w:p w:rsidR="007A2F6F" w:rsidRPr="0085722A" w:rsidRDefault="007A2F6F" w:rsidP="007A2F6F">
      <w:pPr>
        <w:pStyle w:val="JuQuot"/>
      </w:pPr>
      <w:r w:rsidRPr="0085722A">
        <w:t>2. </w:t>
      </w:r>
      <w:r w:rsidR="0091562A">
        <w:t> </w:t>
      </w:r>
      <w:r w:rsidRPr="0085722A">
        <w:t>Today</w:t>
      </w:r>
      <w:r w:rsidR="00C63C92">
        <w:t>'</w:t>
      </w:r>
      <w:r w:rsidRPr="0085722A">
        <w:t xml:space="preserve">s slaves are predominantly female and usually work in private households, starting out as migrant domestic workers, au pairs or </w:t>
      </w:r>
      <w:r w:rsidR="00C63C92">
        <w:t>'</w:t>
      </w:r>
      <w:r w:rsidRPr="0085722A">
        <w:t>mail-order brides</w:t>
      </w:r>
      <w:r w:rsidR="00C63C92">
        <w:t>'</w:t>
      </w:r>
      <w:r w:rsidRPr="0085722A">
        <w:t>. Most have come voluntarily, seeking to improve their situation or escaping poverty and hardship, but some have been deceived by their employers, agencies or other intermediaries, have been debt-bonded and even trafficked.</w:t>
      </w:r>
      <w:r w:rsidR="0091562A">
        <w:t xml:space="preserve"> Once working (or married to a </w:t>
      </w:r>
      <w:r w:rsidR="00C63C92">
        <w:t>'</w:t>
      </w:r>
      <w:r w:rsidR="0091562A">
        <w:t>consumer husband</w:t>
      </w:r>
      <w:r w:rsidR="00C63C92">
        <w:t>'</w:t>
      </w:r>
      <w:r w:rsidRPr="0085722A">
        <w:t>), however, they are vulnerable and isolated. This creates ample opportunity for abusive employers or husbands to force them into domestic slavery.</w:t>
      </w:r>
    </w:p>
    <w:p w:rsidR="00B3700B" w:rsidRPr="0085722A" w:rsidRDefault="00B3700B" w:rsidP="007A2F6F">
      <w:pPr>
        <w:pStyle w:val="JuQuot"/>
      </w:pPr>
      <w:r w:rsidRPr="0085722A">
        <w:t>...</w:t>
      </w:r>
    </w:p>
    <w:p w:rsidR="007A2F6F" w:rsidRPr="0085722A" w:rsidRDefault="007A2F6F" w:rsidP="007A2F6F">
      <w:pPr>
        <w:pStyle w:val="JuQuot"/>
        <w:rPr>
          <w:sz w:val="11"/>
          <w:szCs w:val="11"/>
        </w:rPr>
      </w:pPr>
      <w:r w:rsidRPr="0085722A">
        <w:t>5. </w:t>
      </w:r>
      <w:r w:rsidR="0091562A">
        <w:t> </w:t>
      </w:r>
      <w:r w:rsidRPr="0085722A">
        <w:t xml:space="preserve">The Council of </w:t>
      </w:r>
      <w:smartTag w:uri="urn:schemas-microsoft-com:office:smarttags" w:element="place">
        <w:r w:rsidRPr="0085722A">
          <w:t>Europe</w:t>
        </w:r>
      </w:smartTag>
      <w:r w:rsidRPr="0085722A">
        <w:t xml:space="preserve"> must have zero tolerance for slavery. As an international organisation defending human rights, it is the Council of Europe</w:t>
      </w:r>
      <w:r w:rsidR="00C63C92">
        <w:t>'</w:t>
      </w:r>
      <w:r w:rsidRPr="0085722A">
        <w:t xml:space="preserve">s duty to lead the fight against all forms of slavery and trafficking in human beings. The Organisation and its </w:t>
      </w:r>
      <w:smartTag w:uri="urn:schemas-microsoft-com:office:smarttags" w:element="PlaceName">
        <w:r w:rsidRPr="0085722A">
          <w:t>member</w:t>
        </w:r>
      </w:smartTag>
      <w:r w:rsidRPr="0085722A">
        <w:t xml:space="preserve"> </w:t>
      </w:r>
      <w:smartTag w:uri="urn:schemas-microsoft-com:office:smarttags" w:element="PlaceType">
        <w:r w:rsidR="001B73F7">
          <w:t>S</w:t>
        </w:r>
        <w:r w:rsidRPr="0085722A">
          <w:t>tates</w:t>
        </w:r>
      </w:smartTag>
      <w:r w:rsidRPr="0085722A">
        <w:t xml:space="preserve"> must promote and protect the human rights of the victim and ensure that the perpetrators of the crime of domestic slavery are brought to justice so that slavery can finally be eliminated from </w:t>
      </w:r>
      <w:smartTag w:uri="urn:schemas-microsoft-com:office:smarttags" w:element="place">
        <w:r w:rsidRPr="0085722A">
          <w:t>Europe</w:t>
        </w:r>
      </w:smartTag>
      <w:r w:rsidRPr="0085722A">
        <w:t>.</w:t>
      </w:r>
    </w:p>
    <w:p w:rsidR="007A2F6F" w:rsidRPr="0085722A" w:rsidRDefault="007A2F6F" w:rsidP="007A2F6F">
      <w:pPr>
        <w:pStyle w:val="JuQuot"/>
        <w:rPr>
          <w:sz w:val="11"/>
          <w:szCs w:val="11"/>
        </w:rPr>
      </w:pPr>
      <w:r w:rsidRPr="0085722A">
        <w:t>6. </w:t>
      </w:r>
      <w:r w:rsidR="0091562A">
        <w:t> </w:t>
      </w:r>
      <w:r w:rsidRPr="0085722A">
        <w:t>The Assembly thus recommends that the Committee of Ministers:</w:t>
      </w:r>
    </w:p>
    <w:p w:rsidR="007A2F6F" w:rsidRPr="0085722A" w:rsidRDefault="0091562A" w:rsidP="007A2F6F">
      <w:pPr>
        <w:pStyle w:val="JuQuot"/>
        <w:rPr>
          <w:sz w:val="11"/>
          <w:szCs w:val="11"/>
        </w:rPr>
      </w:pPr>
      <w:r>
        <w:t>i.  </w:t>
      </w:r>
      <w:r w:rsidR="007A2F6F" w:rsidRPr="004D1C7F">
        <w:rPr>
          <w:i/>
        </w:rPr>
        <w:t>in general</w:t>
      </w:r>
      <w:r w:rsidR="006C7D24" w:rsidRPr="004D1C7F">
        <w:rPr>
          <w:i/>
        </w:rPr>
        <w:t>:</w:t>
      </w:r>
    </w:p>
    <w:p w:rsidR="007A2F6F" w:rsidRPr="0085722A" w:rsidRDefault="007A2F6F" w:rsidP="0091562A">
      <w:pPr>
        <w:pStyle w:val="JuQuot"/>
        <w:ind w:left="567" w:firstLine="139"/>
        <w:rPr>
          <w:sz w:val="11"/>
          <w:szCs w:val="11"/>
        </w:rPr>
      </w:pPr>
      <w:r w:rsidRPr="004D1C7F">
        <w:rPr>
          <w:i/>
          <w:iCs/>
        </w:rPr>
        <w:t>a</w:t>
      </w:r>
      <w:r w:rsidRPr="0091562A">
        <w:t>.</w:t>
      </w:r>
      <w:r w:rsidR="0091562A">
        <w:t> </w:t>
      </w:r>
      <w:r w:rsidRPr="0085722A">
        <w:t> bring the negotiations on the Council of Europe draft convention on action against trafficking in human beings to a rapid conclusion;</w:t>
      </w:r>
    </w:p>
    <w:p w:rsidR="007A2F6F" w:rsidRPr="0085722A" w:rsidRDefault="007A2F6F" w:rsidP="0091562A">
      <w:pPr>
        <w:pStyle w:val="JuQuot"/>
        <w:ind w:left="567" w:firstLine="139"/>
      </w:pPr>
      <w:r w:rsidRPr="004D1C7F">
        <w:rPr>
          <w:i/>
          <w:iCs/>
        </w:rPr>
        <w:t>b</w:t>
      </w:r>
      <w:r w:rsidRPr="0091562A">
        <w:t>.</w:t>
      </w:r>
      <w:r w:rsidRPr="0085722A">
        <w:t> </w:t>
      </w:r>
      <w:r w:rsidR="0091562A">
        <w:t> </w:t>
      </w:r>
      <w:r w:rsidRPr="0085722A">
        <w:t xml:space="preserve">encourage member </w:t>
      </w:r>
      <w:r w:rsidR="001B73F7">
        <w:t>S</w:t>
      </w:r>
      <w:r w:rsidRPr="0085722A">
        <w:t xml:space="preserve">tates to combat domestic slavery in all its forms as a matter of urgency, ensuring that holding a person in any form of slavery is a </w:t>
      </w:r>
      <w:r w:rsidR="0091562A">
        <w:t>criminal offence in all member S</w:t>
      </w:r>
      <w:r w:rsidRPr="0085722A">
        <w:t>tates;</w:t>
      </w:r>
    </w:p>
    <w:p w:rsidR="007A2F6F" w:rsidRDefault="007A2F6F" w:rsidP="00B1466A">
      <w:pPr>
        <w:pStyle w:val="JuQuot"/>
        <w:ind w:left="567" w:firstLine="139"/>
      </w:pPr>
      <w:r w:rsidRPr="004D1C7F">
        <w:rPr>
          <w:i/>
          <w:iCs/>
        </w:rPr>
        <w:t>c</w:t>
      </w:r>
      <w:r w:rsidRPr="0085722A">
        <w:t>. </w:t>
      </w:r>
      <w:r w:rsidR="00B1466A">
        <w:t> </w:t>
      </w:r>
      <w:r w:rsidRPr="0085722A">
        <w:t xml:space="preserve">ensure that the relevant authorities in the member </w:t>
      </w:r>
      <w:r w:rsidR="00B1466A">
        <w:t>S</w:t>
      </w:r>
      <w:r w:rsidRPr="0085722A">
        <w:t>tates thoroughly, promptly and impartially investigate all allegations of any form of slavery and prosecute those responsible;</w:t>
      </w:r>
    </w:p>
    <w:p w:rsidR="00B1466A" w:rsidRPr="0085722A" w:rsidRDefault="00B1466A" w:rsidP="00B1466A">
      <w:pPr>
        <w:pStyle w:val="JuQuot"/>
        <w:ind w:left="567" w:firstLine="139"/>
      </w:pPr>
      <w:r w:rsidRPr="0085722A">
        <w:t>...</w:t>
      </w:r>
    </w:p>
    <w:p w:rsidR="007A2F6F" w:rsidRPr="0085722A" w:rsidRDefault="007A2F6F" w:rsidP="007A2F6F">
      <w:pPr>
        <w:pStyle w:val="JuQuot"/>
        <w:rPr>
          <w:sz w:val="11"/>
          <w:szCs w:val="11"/>
        </w:rPr>
      </w:pPr>
      <w:r w:rsidRPr="0085722A">
        <w:t>ii. </w:t>
      </w:r>
      <w:r w:rsidR="00B1466A">
        <w:t> </w:t>
      </w:r>
      <w:r w:rsidRPr="004D1C7F">
        <w:rPr>
          <w:i/>
        </w:rPr>
        <w:t>as concerns domestic servitude:</w:t>
      </w:r>
    </w:p>
    <w:p w:rsidR="007A2F6F" w:rsidRPr="0085722A" w:rsidRDefault="007A2F6F" w:rsidP="00B1466A">
      <w:pPr>
        <w:pStyle w:val="JuQuot"/>
        <w:ind w:left="567" w:firstLine="139"/>
        <w:rPr>
          <w:sz w:val="11"/>
          <w:szCs w:val="11"/>
        </w:rPr>
      </w:pPr>
      <w:r w:rsidRPr="004D1C7F">
        <w:rPr>
          <w:i/>
        </w:rPr>
        <w:t>a</w:t>
      </w:r>
      <w:r w:rsidRPr="0085722A">
        <w:t>. </w:t>
      </w:r>
      <w:r w:rsidR="00B1466A">
        <w:t> </w:t>
      </w:r>
      <w:r w:rsidRPr="0085722A">
        <w:t>elaborate a charter of rights for domestic workers, as already recommended in Recommendation 1523 (2001) on domestic slavery. Such a charter, which could take the form of a Committee of Ministers</w:t>
      </w:r>
      <w:r w:rsidR="00C63C92">
        <w:t>'</w:t>
      </w:r>
      <w:r w:rsidRPr="0085722A">
        <w:t xml:space="preserve"> recommendation or even of a convention, should guarantee at least the following rights to domestic workers:</w:t>
      </w:r>
    </w:p>
    <w:p w:rsidR="007A2F6F" w:rsidRPr="0085722A" w:rsidRDefault="007A2F6F" w:rsidP="00B1466A">
      <w:pPr>
        <w:pStyle w:val="JuQuot"/>
        <w:ind w:left="567" w:firstLine="139"/>
        <w:rPr>
          <w:sz w:val="11"/>
          <w:szCs w:val="11"/>
        </w:rPr>
      </w:pPr>
      <w:r w:rsidRPr="0085722A">
        <w:t>–</w:t>
      </w:r>
      <w:r w:rsidR="00B1466A">
        <w:t> </w:t>
      </w:r>
      <w:r w:rsidRPr="0085722A">
        <w:t xml:space="preserve"> the recognition of domestic work in private households as </w:t>
      </w:r>
      <w:r w:rsidR="00C63C92">
        <w:t>'</w:t>
      </w:r>
      <w:r w:rsidRPr="0085722A">
        <w:t>real work</w:t>
      </w:r>
      <w:r w:rsidR="00C63C92">
        <w:t>'</w:t>
      </w:r>
      <w:r w:rsidRPr="0085722A">
        <w:t>, that is, to which full employment rights and social protection apply, including the minimum wage (where it exists), sickness and maternity pay as well as pension rights;</w:t>
      </w:r>
    </w:p>
    <w:p w:rsidR="007A2F6F" w:rsidRPr="0085722A" w:rsidRDefault="007A2F6F" w:rsidP="00B1466A">
      <w:pPr>
        <w:pStyle w:val="JuQuot"/>
        <w:ind w:left="567" w:firstLine="139"/>
        <w:rPr>
          <w:sz w:val="11"/>
          <w:szCs w:val="11"/>
        </w:rPr>
      </w:pPr>
      <w:r w:rsidRPr="0085722A">
        <w:t>– </w:t>
      </w:r>
      <w:r w:rsidR="00B1466A">
        <w:t> </w:t>
      </w:r>
      <w:r w:rsidRPr="0085722A">
        <w:t>the right to a legally enforceable contract of employment setting out minimum wages, maximum hours and responsibilities;</w:t>
      </w:r>
    </w:p>
    <w:p w:rsidR="007A2F6F" w:rsidRPr="0085722A" w:rsidRDefault="007A2F6F" w:rsidP="00B1466A">
      <w:pPr>
        <w:pStyle w:val="JuQuot"/>
        <w:ind w:firstLine="281"/>
        <w:rPr>
          <w:sz w:val="11"/>
          <w:szCs w:val="11"/>
        </w:rPr>
      </w:pPr>
      <w:r w:rsidRPr="0085722A">
        <w:t>– </w:t>
      </w:r>
      <w:r w:rsidR="00B1466A">
        <w:t> </w:t>
      </w:r>
      <w:r w:rsidRPr="0085722A">
        <w:t>the right to health insurance;</w:t>
      </w:r>
    </w:p>
    <w:p w:rsidR="007A2F6F" w:rsidRPr="0085722A" w:rsidRDefault="007A2F6F" w:rsidP="00B1466A">
      <w:pPr>
        <w:pStyle w:val="JuQuot"/>
        <w:ind w:left="567" w:firstLine="139"/>
        <w:rPr>
          <w:sz w:val="11"/>
          <w:szCs w:val="11"/>
        </w:rPr>
      </w:pPr>
      <w:r w:rsidRPr="0085722A">
        <w:t>– </w:t>
      </w:r>
      <w:r w:rsidR="00B1466A">
        <w:t> </w:t>
      </w:r>
      <w:r w:rsidRPr="0085722A">
        <w:t>the right to family life, including health, education and social rights for the children of domestic workers;</w:t>
      </w:r>
    </w:p>
    <w:p w:rsidR="007A2F6F" w:rsidRPr="0085722A" w:rsidRDefault="007A2F6F" w:rsidP="00B1466A">
      <w:pPr>
        <w:pStyle w:val="JuQuot"/>
        <w:ind w:firstLine="281"/>
        <w:rPr>
          <w:sz w:val="11"/>
          <w:szCs w:val="11"/>
        </w:rPr>
      </w:pPr>
      <w:r w:rsidRPr="0085722A">
        <w:t>– </w:t>
      </w:r>
      <w:r w:rsidR="00B1466A">
        <w:t> </w:t>
      </w:r>
      <w:r w:rsidRPr="0085722A">
        <w:t>the right to leisure and personal time;</w:t>
      </w:r>
    </w:p>
    <w:p w:rsidR="00B1466A" w:rsidRDefault="007A2F6F" w:rsidP="00B1466A">
      <w:pPr>
        <w:pStyle w:val="JuQuot"/>
        <w:ind w:left="579" w:firstLine="127"/>
      </w:pPr>
      <w:r w:rsidRPr="0085722A">
        <w:t>– </w:t>
      </w:r>
      <w:r w:rsidR="00B1466A">
        <w:t> </w:t>
      </w:r>
      <w:r w:rsidRPr="0085722A">
        <w:t>the right for migrant domestic workers to an immigration status independent of any employer, the right to change employer and to travel within the host country and between all countries of the European Union and the right to the recognition of qualifications, training and experience obtained in the home country;</w:t>
      </w:r>
    </w:p>
    <w:p w:rsidR="007A2F6F" w:rsidRPr="0085722A" w:rsidRDefault="007A2F6F" w:rsidP="00B1466A">
      <w:pPr>
        <w:pStyle w:val="JuQuot"/>
        <w:ind w:left="579" w:firstLine="127"/>
      </w:pPr>
      <w:r w:rsidRPr="0085722A">
        <w:t>...”</w:t>
      </w:r>
    </w:p>
    <w:p w:rsidR="007A2F6F" w:rsidRPr="00B1466A" w:rsidRDefault="00BD3601" w:rsidP="007A2F6F">
      <w:pPr>
        <w:pStyle w:val="JuPara"/>
      </w:pPr>
      <w:r w:rsidRPr="0085722A">
        <w:fldChar w:fldCharType="begin"/>
      </w:r>
      <w:r w:rsidRPr="0085722A">
        <w:instrText xml:space="preserve"> SEQ level0 \*arabic </w:instrText>
      </w:r>
      <w:r w:rsidRPr="0085722A">
        <w:fldChar w:fldCharType="separate"/>
      </w:r>
      <w:r w:rsidR="00E97C1C">
        <w:rPr>
          <w:noProof/>
        </w:rPr>
        <w:t>50</w:t>
      </w:r>
      <w:r w:rsidRPr="0085722A">
        <w:fldChar w:fldCharType="end"/>
      </w:r>
      <w:r w:rsidRPr="0085722A">
        <w:t>.  </w:t>
      </w:r>
      <w:r w:rsidR="007A2F6F" w:rsidRPr="006A5017">
        <w:rPr>
          <w:b/>
        </w:rPr>
        <w:t xml:space="preserve">Council of </w:t>
      </w:r>
      <w:smartTag w:uri="urn:schemas-microsoft-com:office:smarttags" w:element="place">
        <w:r w:rsidR="007A2F6F" w:rsidRPr="006A5017">
          <w:rPr>
            <w:b/>
          </w:rPr>
          <w:t>Europe</w:t>
        </w:r>
      </w:smartTag>
      <w:r w:rsidR="007A2F6F" w:rsidRPr="006A5017">
        <w:rPr>
          <w:b/>
        </w:rPr>
        <w:t xml:space="preserve"> Convention on Action against Trafficking in Human Beings, opened for signature on 16 May 2005</w:t>
      </w:r>
      <w:r w:rsidR="006A5017">
        <w:rPr>
          <w:b/>
        </w:rPr>
        <w:t xml:space="preserve"> </w:t>
      </w:r>
      <w:r w:rsidR="006A5017" w:rsidRPr="006A5017">
        <w:t>(extracts)</w:t>
      </w:r>
    </w:p>
    <w:p w:rsidR="00BD3601" w:rsidRPr="00B1466A" w:rsidRDefault="00BD3601" w:rsidP="007A2F6F">
      <w:pPr>
        <w:pStyle w:val="JuPara"/>
      </w:pPr>
    </w:p>
    <w:p w:rsidR="007A2F6F" w:rsidRPr="0085722A" w:rsidRDefault="007A2F6F" w:rsidP="00B1466A">
      <w:pPr>
        <w:pStyle w:val="JuHArticle"/>
      </w:pPr>
      <w:r w:rsidRPr="0085722A">
        <w:t>Preamble</w:t>
      </w:r>
    </w:p>
    <w:p w:rsidR="00B1466A" w:rsidRDefault="007A2F6F" w:rsidP="007A2F6F">
      <w:pPr>
        <w:pStyle w:val="JuQuot"/>
      </w:pPr>
      <w:r w:rsidRPr="0085722A">
        <w:t>“</w:t>
      </w:r>
      <w:r w:rsidR="00B1466A" w:rsidRPr="0085722A">
        <w:t>...</w:t>
      </w:r>
    </w:p>
    <w:p w:rsidR="007A2F6F" w:rsidRPr="0085722A" w:rsidRDefault="007A2F6F" w:rsidP="007A2F6F">
      <w:pPr>
        <w:pStyle w:val="JuQuot"/>
      </w:pPr>
      <w:r w:rsidRPr="0085722A">
        <w:t>Considering that trafficking in human beings may result in slavery for victims;</w:t>
      </w:r>
    </w:p>
    <w:p w:rsidR="007A2F6F" w:rsidRPr="0085722A" w:rsidRDefault="007A2F6F" w:rsidP="007A2F6F">
      <w:pPr>
        <w:pStyle w:val="JuQuot"/>
      </w:pPr>
      <w:r w:rsidRPr="0085722A">
        <w:t>Considering that respect for victims</w:t>
      </w:r>
      <w:r w:rsidR="00C63C92">
        <w:t>'</w:t>
      </w:r>
      <w:r w:rsidRPr="0085722A">
        <w:t xml:space="preserve"> rights, protection of victims and action to combat trafficking in human beings must be the paramount objectives;</w:t>
      </w:r>
    </w:p>
    <w:p w:rsidR="007A2F6F" w:rsidRPr="0085722A" w:rsidRDefault="007A2F6F" w:rsidP="007A2F6F">
      <w:pPr>
        <w:pStyle w:val="JuQuot"/>
      </w:pPr>
      <w:r w:rsidRPr="0085722A">
        <w:t>Considering that all actions or initiatives against trafficking in human beings must be non-discriminatory, take gender equality into account as well as a child-rights approach;</w:t>
      </w:r>
    </w:p>
    <w:p w:rsidR="003F764E" w:rsidRDefault="003F764E" w:rsidP="007A2F6F">
      <w:pPr>
        <w:pStyle w:val="JuQuot"/>
      </w:pPr>
      <w:r>
        <w:t>...</w:t>
      </w:r>
    </w:p>
    <w:p w:rsidR="007A2F6F" w:rsidRDefault="007A2F6F" w:rsidP="007A2F6F">
      <w:pPr>
        <w:pStyle w:val="JuQuot"/>
        <w:rPr>
          <w:bCs/>
        </w:rPr>
      </w:pPr>
      <w:r w:rsidRPr="0085722A">
        <w:t>Bearing in mind the following recommendations of the Parliamentary Ass</w:t>
      </w:r>
      <w:r w:rsidR="00B1466A">
        <w:t>embly of the Council of Europe:</w:t>
      </w:r>
      <w:r w:rsidR="003F764E">
        <w:t xml:space="preserve"> </w:t>
      </w:r>
      <w:r w:rsidR="00B1466A" w:rsidRPr="0085722A">
        <w:t>...</w:t>
      </w:r>
      <w:r w:rsidRPr="0085722A">
        <w:t xml:space="preserve"> 1663 (2004) Domestic slavery: servitude, au pairs and mail-order brides</w:t>
      </w:r>
      <w:r w:rsidR="00B1466A">
        <w:rPr>
          <w:bCs/>
        </w:rPr>
        <w:t>;</w:t>
      </w:r>
    </w:p>
    <w:p w:rsidR="00B1466A" w:rsidRPr="0085722A" w:rsidRDefault="00B1466A" w:rsidP="007A2F6F">
      <w:pPr>
        <w:pStyle w:val="JuQuot"/>
        <w:rPr>
          <w:bCs/>
        </w:rPr>
      </w:pPr>
      <w:r w:rsidRPr="0085722A">
        <w:t>...</w:t>
      </w:r>
      <w:r>
        <w:t>”</w:t>
      </w:r>
    </w:p>
    <w:p w:rsidR="007A2F6F" w:rsidRPr="0085722A" w:rsidRDefault="007A2F6F" w:rsidP="00B1466A">
      <w:pPr>
        <w:pStyle w:val="JuHArticle"/>
      </w:pPr>
      <w:r w:rsidRPr="0085722A">
        <w:t>Article 1 – Purposes of the Convention</w:t>
      </w:r>
    </w:p>
    <w:p w:rsidR="00C63C92" w:rsidRDefault="0076696D" w:rsidP="007A2F6F">
      <w:pPr>
        <w:pStyle w:val="JuQuot"/>
      </w:pPr>
      <w:r>
        <w:t>“1. </w:t>
      </w:r>
      <w:r w:rsidR="007A2F6F" w:rsidRPr="0085722A">
        <w:t> The purposes of this Convention are:</w:t>
      </w:r>
    </w:p>
    <w:p w:rsidR="007A2F6F" w:rsidRPr="0085722A" w:rsidRDefault="00B1466A" w:rsidP="007A2F6F">
      <w:pPr>
        <w:pStyle w:val="JuQuot"/>
      </w:pPr>
      <w:r>
        <w:t>(a)  </w:t>
      </w:r>
      <w:r w:rsidR="007A2F6F" w:rsidRPr="0085722A">
        <w:t>to prevent and combat trafficking in human beings, while guaranteeing gender equality;</w:t>
      </w:r>
    </w:p>
    <w:p w:rsidR="007A2F6F" w:rsidRPr="0085722A" w:rsidRDefault="00B1466A" w:rsidP="007A2F6F">
      <w:pPr>
        <w:pStyle w:val="JuQuot"/>
      </w:pPr>
      <w:r>
        <w:t>(b)  </w:t>
      </w:r>
      <w:r w:rsidR="007A2F6F" w:rsidRPr="0085722A">
        <w:t>to protect the human rights of the victims of trafficking, design a comprehensive framework for the protection and assistance of victims and witnesses, while guaranteeing gender equality, as well as to ensure effective investigation and prosecution;</w:t>
      </w:r>
    </w:p>
    <w:p w:rsidR="007A2F6F" w:rsidRPr="0085722A" w:rsidRDefault="007A2F6F" w:rsidP="007A2F6F">
      <w:pPr>
        <w:pStyle w:val="JuQuot"/>
      </w:pPr>
      <w:r w:rsidRPr="0085722A">
        <w:t>...</w:t>
      </w:r>
      <w:r w:rsidR="00B1466A">
        <w:t>”</w:t>
      </w:r>
    </w:p>
    <w:p w:rsidR="007A2F6F" w:rsidRPr="0085722A" w:rsidRDefault="007A2F6F" w:rsidP="00B1466A">
      <w:pPr>
        <w:pStyle w:val="JuHArticle"/>
      </w:pPr>
      <w:r w:rsidRPr="0085722A">
        <w:t>Article 4 – Definitions</w:t>
      </w:r>
    </w:p>
    <w:p w:rsidR="007A2F6F" w:rsidRPr="0085722A" w:rsidRDefault="00B1466A" w:rsidP="007A2F6F">
      <w:pPr>
        <w:pStyle w:val="JuQuot"/>
      </w:pPr>
      <w:r>
        <w:t>“</w:t>
      </w:r>
      <w:r w:rsidR="007A2F6F" w:rsidRPr="0085722A">
        <w:t>For the purposes of this Convention:</w:t>
      </w:r>
    </w:p>
    <w:p w:rsidR="007A2F6F" w:rsidRPr="0085722A" w:rsidRDefault="007A2F6F" w:rsidP="007A2F6F">
      <w:pPr>
        <w:pStyle w:val="JuQuot"/>
      </w:pPr>
      <w:r w:rsidRPr="00B1466A">
        <w:t>(a</w:t>
      </w:r>
      <w:r w:rsidRPr="00DF617D">
        <w:t>)  </w:t>
      </w:r>
      <w:r w:rsidR="00C63C92">
        <w:t>'</w:t>
      </w:r>
      <w:r w:rsidRPr="00DF617D">
        <w:t>Trafficking</w:t>
      </w:r>
      <w:r w:rsidRPr="0085722A">
        <w:t xml:space="preserve"> in human beings</w:t>
      </w:r>
      <w:r w:rsidR="00C63C92">
        <w:t>'</w:t>
      </w:r>
      <w:r w:rsidRPr="0085722A">
        <w:t xml:space="preserve"> shall mean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w:t>
      </w:r>
      <w:smartTag w:uri="urn:schemas-microsoft-com:office:smarttags" w:element="PersonName">
        <w:r w:rsidRPr="0085722A">
          <w:t>Exploitation</w:t>
        </w:r>
      </w:smartTag>
      <w:r w:rsidRPr="0085722A">
        <w:t xml:space="preserve"> shall include, at a minimum, the exploitation of the prostitution of others or other forms of sexual exploitation, forced labour or services, slavery or practices similar to slavery, servitude or the removal of organs;</w:t>
      </w:r>
    </w:p>
    <w:p w:rsidR="007A2F6F" w:rsidRPr="0085722A" w:rsidRDefault="007A2F6F" w:rsidP="007A2F6F">
      <w:pPr>
        <w:pStyle w:val="JuQuot"/>
      </w:pPr>
      <w:r w:rsidRPr="00DF617D">
        <w:t>(b)</w:t>
      </w:r>
      <w:r w:rsidR="00DF617D" w:rsidRPr="00DF617D">
        <w:t>  </w:t>
      </w:r>
      <w:r w:rsidRPr="0085722A">
        <w:t xml:space="preserve">The consent of a victim of </w:t>
      </w:r>
      <w:r w:rsidR="00C63C92">
        <w:t>'</w:t>
      </w:r>
      <w:r w:rsidRPr="0085722A">
        <w:t>trafficking in human beings</w:t>
      </w:r>
      <w:r w:rsidR="00C63C92">
        <w:t>'</w:t>
      </w:r>
      <w:r w:rsidRPr="0085722A">
        <w:t xml:space="preserve"> to the intended exploitation set forth in sub</w:t>
      </w:r>
      <w:r w:rsidR="00DF617D">
        <w:t>-</w:t>
      </w:r>
      <w:r w:rsidRPr="0085722A">
        <w:t xml:space="preserve">paragraph (a) of this </w:t>
      </w:r>
      <w:r w:rsidR="00DD0E35">
        <w:t>A</w:t>
      </w:r>
      <w:r w:rsidRPr="0085722A">
        <w:t>rticle shall be irrelevant where any of the means set forth in sub</w:t>
      </w:r>
      <w:r w:rsidR="00DF617D">
        <w:t>-</w:t>
      </w:r>
      <w:r w:rsidRPr="0085722A">
        <w:t>paragraph (a) have been used;</w:t>
      </w:r>
    </w:p>
    <w:p w:rsidR="007A2F6F" w:rsidRPr="0085722A" w:rsidRDefault="007A2F6F" w:rsidP="007A2F6F">
      <w:pPr>
        <w:pStyle w:val="JuQuot"/>
      </w:pPr>
      <w:r w:rsidRPr="00DF617D">
        <w:t>(c)</w:t>
      </w:r>
      <w:r w:rsidR="00DF617D" w:rsidRPr="00DF617D">
        <w:t>  </w:t>
      </w:r>
      <w:r w:rsidRPr="0085722A">
        <w:t>The recruitment, transportation, transfer, harbouring or receipt of a child for the purpose of ex</w:t>
      </w:r>
      <w:r w:rsidR="00DF617D">
        <w:t xml:space="preserve">ploitation shall be considered </w:t>
      </w:r>
      <w:r w:rsidR="00C63C92">
        <w:t>'</w:t>
      </w:r>
      <w:r w:rsidR="00DF617D">
        <w:t>trafficking in human beings</w:t>
      </w:r>
      <w:r w:rsidR="00C63C92">
        <w:t>'</w:t>
      </w:r>
      <w:r w:rsidRPr="0085722A">
        <w:t xml:space="preserve"> even if this does not involve any of the means set forth in sub</w:t>
      </w:r>
      <w:r w:rsidR="00DF617D">
        <w:t>-paragraph (a) of this A</w:t>
      </w:r>
      <w:r w:rsidRPr="0085722A">
        <w:t>rticle;</w:t>
      </w:r>
    </w:p>
    <w:p w:rsidR="007A2F6F" w:rsidRPr="0085722A" w:rsidRDefault="007A2F6F" w:rsidP="007A2F6F">
      <w:pPr>
        <w:pStyle w:val="JuQuot"/>
      </w:pPr>
      <w:r w:rsidRPr="00DF617D">
        <w:t>(d)</w:t>
      </w:r>
      <w:r w:rsidR="00DF617D" w:rsidRPr="00DF617D">
        <w:t>  </w:t>
      </w:r>
      <w:r w:rsidR="00C63C92">
        <w:t>'</w:t>
      </w:r>
      <w:r w:rsidRPr="0085722A">
        <w:t>Child</w:t>
      </w:r>
      <w:r w:rsidR="00C63C92">
        <w:t>'</w:t>
      </w:r>
      <w:r w:rsidRPr="0085722A">
        <w:t xml:space="preserve"> shall mean any person under eighteen years of age;</w:t>
      </w:r>
    </w:p>
    <w:p w:rsidR="007A2F6F" w:rsidRPr="0085722A" w:rsidRDefault="007A2F6F" w:rsidP="007A2F6F">
      <w:pPr>
        <w:pStyle w:val="JuQuot"/>
      </w:pPr>
      <w:r w:rsidRPr="00DF617D">
        <w:t>(e)</w:t>
      </w:r>
      <w:r w:rsidR="00DF617D">
        <w:t>  </w:t>
      </w:r>
      <w:r w:rsidR="00C63C92">
        <w:t>'</w:t>
      </w:r>
      <w:r w:rsidRPr="0085722A">
        <w:t>Victim</w:t>
      </w:r>
      <w:r w:rsidR="00C63C92">
        <w:t>'</w:t>
      </w:r>
      <w:r w:rsidRPr="0085722A">
        <w:t xml:space="preserve"> shall mean any natural person who is subject to trafficking in h</w:t>
      </w:r>
      <w:r w:rsidR="00DF617D">
        <w:t>uman beings as defined in this A</w:t>
      </w:r>
      <w:r w:rsidRPr="0085722A">
        <w:t>rticle.”</w:t>
      </w:r>
    </w:p>
    <w:p w:rsidR="00C63C92" w:rsidRDefault="007A2F6F" w:rsidP="00DF617D">
      <w:pPr>
        <w:pStyle w:val="JuHArticle"/>
      </w:pPr>
      <w:r w:rsidRPr="0085722A">
        <w:t>Article 19 – Criminalisation of the use of services of a victim</w:t>
      </w:r>
    </w:p>
    <w:p w:rsidR="007A2F6F" w:rsidRPr="0085722A" w:rsidRDefault="007A2F6F" w:rsidP="007A2F6F">
      <w:pPr>
        <w:pStyle w:val="JuQuot"/>
      </w:pPr>
      <w:r w:rsidRPr="0085722A">
        <w:t xml:space="preserve">“Each Party shall consider adopting such legislative and other measures as may be necessary to establish as criminal offences under its internal law, the use of services which are the object of exploitation as referred to in Article 4 paragraph </w:t>
      </w:r>
      <w:r w:rsidR="00DF617D">
        <w:t>(</w:t>
      </w:r>
      <w:r w:rsidRPr="0085722A">
        <w:t>a</w:t>
      </w:r>
      <w:r w:rsidR="00DF617D">
        <w:t>)</w:t>
      </w:r>
      <w:r w:rsidRPr="0085722A">
        <w:t xml:space="preserve"> of this Convention, with the knowledge that the person is a victim of trafficking in human beings.”</w:t>
      </w:r>
    </w:p>
    <w:p w:rsidR="00C63C92" w:rsidRDefault="00BD3601" w:rsidP="00DF617D">
      <w:pPr>
        <w:pStyle w:val="JuHA"/>
      </w:pPr>
      <w:r w:rsidRPr="00E959FF">
        <w:rPr>
          <w:b w:val="0"/>
        </w:rPr>
        <w:fldChar w:fldCharType="begin"/>
      </w:r>
      <w:r w:rsidRPr="00E959FF">
        <w:rPr>
          <w:b w:val="0"/>
        </w:rPr>
        <w:instrText xml:space="preserve"> SEQ level0 \*arabic </w:instrText>
      </w:r>
      <w:r w:rsidRPr="00E959FF">
        <w:rPr>
          <w:b w:val="0"/>
        </w:rPr>
        <w:fldChar w:fldCharType="separate"/>
      </w:r>
      <w:r w:rsidR="00E97C1C">
        <w:rPr>
          <w:b w:val="0"/>
          <w:noProof/>
        </w:rPr>
        <w:t>51</w:t>
      </w:r>
      <w:r w:rsidRPr="00E959FF">
        <w:rPr>
          <w:b w:val="0"/>
        </w:rPr>
        <w:fldChar w:fldCharType="end"/>
      </w:r>
      <w:r w:rsidRPr="00E959FF">
        <w:rPr>
          <w:b w:val="0"/>
        </w:rPr>
        <w:t>.</w:t>
      </w:r>
      <w:r w:rsidRPr="0085722A">
        <w:t>  </w:t>
      </w:r>
      <w:r w:rsidR="007A2F6F" w:rsidRPr="00E959FF">
        <w:t>Other international conventions</w:t>
      </w:r>
    </w:p>
    <w:p w:rsidR="007A2F6F" w:rsidRPr="003F764E" w:rsidRDefault="00903A34" w:rsidP="00EC06DB">
      <w:pPr>
        <w:pStyle w:val="JuH1"/>
      </w:pPr>
      <w:r w:rsidRPr="003F764E">
        <w:t>(a)  </w:t>
      </w:r>
      <w:r w:rsidR="007A2F6F" w:rsidRPr="003F764E">
        <w:t xml:space="preserve">Forced Labour Convention, adopted on 28 June 1930 by the General Conference of the International Labour Organisation (ratified by </w:t>
      </w:r>
      <w:smartTag w:uri="urn:schemas-microsoft-com:office:smarttags" w:element="place">
        <w:smartTag w:uri="urn:schemas-microsoft-com:office:smarttags" w:element="country-region">
          <w:r w:rsidR="007A2F6F" w:rsidRPr="003F764E">
            <w:t>France</w:t>
          </w:r>
        </w:smartTag>
      </w:smartTag>
      <w:r w:rsidR="007A2F6F" w:rsidRPr="003F764E">
        <w:t xml:space="preserve"> on 24 June 1937</w:t>
      </w:r>
      <w:r w:rsidR="00DF617D" w:rsidRPr="003F764E">
        <w:t>)</w:t>
      </w:r>
    </w:p>
    <w:p w:rsidR="007A2F6F" w:rsidRPr="0085722A" w:rsidRDefault="007A2F6F" w:rsidP="00DF617D">
      <w:pPr>
        <w:pStyle w:val="JuHArticle"/>
      </w:pPr>
      <w:r w:rsidRPr="0085722A">
        <w:t>Article 2</w:t>
      </w:r>
    </w:p>
    <w:p w:rsidR="00C63C92" w:rsidRDefault="00DF617D" w:rsidP="007A2F6F">
      <w:pPr>
        <w:pStyle w:val="JuQuot"/>
      </w:pPr>
      <w:r>
        <w:t>“</w:t>
      </w:r>
      <w:r w:rsidR="007A2F6F" w:rsidRPr="0085722A">
        <w:t>1</w:t>
      </w:r>
      <w:r>
        <w:t>.  </w:t>
      </w:r>
      <w:r w:rsidR="007A2F6F" w:rsidRPr="0085722A">
        <w:t xml:space="preserve">For the purposes of this Convention the </w:t>
      </w:r>
      <w:r w:rsidR="007A2F6F" w:rsidRPr="00DF617D">
        <w:t xml:space="preserve">term </w:t>
      </w:r>
      <w:r w:rsidR="00C63C92">
        <w:t>'</w:t>
      </w:r>
      <w:r w:rsidR="007A2F6F" w:rsidRPr="00DF617D">
        <w:t>forced or compulsory labour</w:t>
      </w:r>
      <w:r w:rsidR="00C63C92">
        <w:t>'</w:t>
      </w:r>
      <w:r w:rsidR="007A2F6F" w:rsidRPr="0085722A">
        <w:t xml:space="preserve"> shall mean all work or service which is exacted from any person under the menace of any penalty and for which the said person has not offered himself voluntarily.</w:t>
      </w:r>
    </w:p>
    <w:p w:rsidR="00C63C92" w:rsidRDefault="00DF617D" w:rsidP="007A2F6F">
      <w:pPr>
        <w:pStyle w:val="JuQuot"/>
      </w:pPr>
      <w:r>
        <w:t>2.  </w:t>
      </w:r>
      <w:r w:rsidR="007A2F6F" w:rsidRPr="0085722A">
        <w:t xml:space="preserve">Nevertheless, for the purposes of this Convention the term </w:t>
      </w:r>
      <w:r w:rsidR="00C63C92">
        <w:t>'</w:t>
      </w:r>
      <w:r w:rsidR="007A2F6F" w:rsidRPr="00DF617D">
        <w:t>forced or compulsory labour</w:t>
      </w:r>
      <w:r w:rsidR="00C63C92">
        <w:t>'</w:t>
      </w:r>
      <w:r w:rsidR="007A2F6F" w:rsidRPr="00DF617D">
        <w:t xml:space="preserve"> s</w:t>
      </w:r>
      <w:r w:rsidR="007A2F6F" w:rsidRPr="0085722A">
        <w:t>hall not include:</w:t>
      </w:r>
    </w:p>
    <w:p w:rsidR="00C63C92" w:rsidRDefault="00DF617D" w:rsidP="007A2F6F">
      <w:pPr>
        <w:pStyle w:val="JuQuot"/>
      </w:pPr>
      <w:r>
        <w:t>(a)  </w:t>
      </w:r>
      <w:r w:rsidR="007A2F6F" w:rsidRPr="0085722A">
        <w:t>Any work or service exacted in virtue of compulsory military service laws for work of a purely military character;</w:t>
      </w:r>
    </w:p>
    <w:p w:rsidR="00C63C92" w:rsidRDefault="00DF617D" w:rsidP="007A2F6F">
      <w:pPr>
        <w:pStyle w:val="JuQuot"/>
      </w:pPr>
      <w:r>
        <w:t>(b)  </w:t>
      </w:r>
      <w:r w:rsidR="007A2F6F" w:rsidRPr="0085722A">
        <w:t>Any work or service which forms part of the normal civic obligations of the citizens of a fully self-governing country;</w:t>
      </w:r>
    </w:p>
    <w:p w:rsidR="00C63C92" w:rsidRDefault="00DF617D" w:rsidP="007A2F6F">
      <w:pPr>
        <w:pStyle w:val="JuQuot"/>
      </w:pPr>
      <w:r>
        <w:t>(c)  </w:t>
      </w:r>
      <w:r w:rsidR="007A2F6F" w:rsidRPr="0085722A">
        <w:t>Any work or service exacted from any person as a consequence of a conviction in a court of law, provided that the said work or service is carried out under the supervision and control of a public authority and that the said person is not hired to or placed at the disposal of private individuals, companies or associations;</w:t>
      </w:r>
    </w:p>
    <w:p w:rsidR="00C63C92" w:rsidRDefault="00DF617D" w:rsidP="007A2F6F">
      <w:pPr>
        <w:pStyle w:val="JuQuot"/>
      </w:pPr>
      <w:r>
        <w:t>(d)  </w:t>
      </w:r>
      <w:r w:rsidR="007A2F6F" w:rsidRPr="0085722A">
        <w:t>Any work or service exacted in cases of emergency, that is to say, in the event of war or of a calamity or threatened calamity, such as fire, flood, famine, earthquake, violent epidemic or epizootic diseases, invasion by animal, insect or vegetable pests, and in general any circumstance that would endanger the existence or the well-being of the whole or part of the population;</w:t>
      </w:r>
    </w:p>
    <w:p w:rsidR="007A2F6F" w:rsidRPr="0085722A" w:rsidRDefault="00DF617D" w:rsidP="007A2F6F">
      <w:pPr>
        <w:pStyle w:val="JuQuot"/>
      </w:pPr>
      <w:r>
        <w:t>(e)  </w:t>
      </w:r>
      <w:r w:rsidR="007A2F6F" w:rsidRPr="0085722A">
        <w:t>Minor communal services of a kind which, being performed by the members of the community in the direct interest of the said community, can therefore be considered as normal civic obligations incumbent upon the members of the community, provided that the members of the community or their direct representatives shall have the right to be consulted in regard</w:t>
      </w:r>
      <w:r>
        <w:t xml:space="preserve"> to the need for such services.”</w:t>
      </w:r>
    </w:p>
    <w:p w:rsidR="007A2F6F" w:rsidRPr="0085722A" w:rsidRDefault="007A2F6F" w:rsidP="00DF617D">
      <w:pPr>
        <w:pStyle w:val="JuHArticle"/>
      </w:pPr>
      <w:r w:rsidRPr="0085722A">
        <w:t>Article 3</w:t>
      </w:r>
    </w:p>
    <w:p w:rsidR="007A2F6F" w:rsidRPr="0085722A" w:rsidRDefault="00DF617D" w:rsidP="007A2F6F">
      <w:pPr>
        <w:pStyle w:val="JuQuot"/>
      </w:pPr>
      <w:r>
        <w:t>“</w:t>
      </w:r>
      <w:r w:rsidR="007A2F6F" w:rsidRPr="0085722A">
        <w:t xml:space="preserve">For the purposes of this Convention the term </w:t>
      </w:r>
      <w:r w:rsidR="00C63C92">
        <w:t>'</w:t>
      </w:r>
      <w:r w:rsidR="007A2F6F" w:rsidRPr="00DF617D">
        <w:t>competent authority</w:t>
      </w:r>
      <w:r w:rsidR="00C63C92">
        <w:t>'</w:t>
      </w:r>
      <w:r w:rsidR="007A2F6F" w:rsidRPr="0085722A">
        <w:t xml:space="preserve"> shall mean either an authority of the metropolitan country or the highest central author</w:t>
      </w:r>
      <w:r>
        <w:t>ity in the territory concerned.”</w:t>
      </w:r>
    </w:p>
    <w:p w:rsidR="00C63C92" w:rsidRDefault="007A2F6F" w:rsidP="00DF617D">
      <w:pPr>
        <w:pStyle w:val="JuHArticle"/>
      </w:pPr>
      <w:r w:rsidRPr="0085722A">
        <w:t>Article 4</w:t>
      </w:r>
    </w:p>
    <w:p w:rsidR="00C63C92" w:rsidRDefault="00DF617D" w:rsidP="007A2F6F">
      <w:pPr>
        <w:pStyle w:val="JuQuot"/>
      </w:pPr>
      <w:r>
        <w:t>“1.  </w:t>
      </w:r>
      <w:r w:rsidR="007A2F6F" w:rsidRPr="0085722A">
        <w:t>The competent authority shall not impose or permit the imposition of forced or compulsory labour for the benefit of private individuals, companies or associations.</w:t>
      </w:r>
    </w:p>
    <w:p w:rsidR="00C63C92" w:rsidRDefault="00DF617D" w:rsidP="007A2F6F">
      <w:pPr>
        <w:pStyle w:val="JuQuot"/>
      </w:pPr>
      <w:r>
        <w:t>2.  </w:t>
      </w:r>
      <w:r w:rsidR="007A2F6F" w:rsidRPr="0085722A">
        <w:t>Where such forced or compulsory labour for the benefit of private individuals, companies or associations exists at the date on which a Member</w:t>
      </w:r>
      <w:r w:rsidR="00C63C92">
        <w:t>'</w:t>
      </w:r>
      <w:r w:rsidR="007A2F6F" w:rsidRPr="0085722A">
        <w:t>s ratification of this Convention is registered by the Director-General of the International Labour Office, the Member shall completely suppress such forced or compulsory labour from the date on which this Convention comes into force for that Member.”</w:t>
      </w:r>
    </w:p>
    <w:p w:rsidR="007A2F6F" w:rsidRPr="003F764E" w:rsidRDefault="00903A34" w:rsidP="00EC06DB">
      <w:pPr>
        <w:pStyle w:val="JuH1"/>
      </w:pPr>
      <w:r w:rsidRPr="003F764E">
        <w:t>(b)  </w:t>
      </w:r>
      <w:r w:rsidR="007A2F6F" w:rsidRPr="003F764E">
        <w:t xml:space="preserve">Slavery Convention, signed in </w:t>
      </w:r>
      <w:smartTag w:uri="urn:schemas-microsoft-com:office:smarttags" w:element="place">
        <w:smartTag w:uri="urn:schemas-microsoft-com:office:smarttags" w:element="City">
          <w:r w:rsidR="007A2F6F" w:rsidRPr="003F764E">
            <w:t>Geneva</w:t>
          </w:r>
        </w:smartTag>
      </w:smartTag>
      <w:r w:rsidR="007A2F6F" w:rsidRPr="003F764E">
        <w:t xml:space="preserve"> on 25 September 1926</w:t>
      </w:r>
      <w:r w:rsidR="00DF617D" w:rsidRPr="003F764E">
        <w:t>, which came</w:t>
      </w:r>
      <w:r w:rsidR="007A2F6F" w:rsidRPr="003F764E">
        <w:t xml:space="preserve"> into force on 9 March 1927, in accordance with the provisions of Article 12</w:t>
      </w:r>
    </w:p>
    <w:p w:rsidR="007A2F6F" w:rsidRPr="0085722A" w:rsidRDefault="00DF617D" w:rsidP="00DF617D">
      <w:pPr>
        <w:pStyle w:val="JuHArticle"/>
      </w:pPr>
      <w:r>
        <w:t>Article 1</w:t>
      </w:r>
    </w:p>
    <w:p w:rsidR="007A2F6F" w:rsidRPr="0085722A" w:rsidRDefault="00DF617D" w:rsidP="007A2F6F">
      <w:pPr>
        <w:pStyle w:val="JuQuot"/>
      </w:pPr>
      <w:r>
        <w:t>“</w:t>
      </w:r>
      <w:r w:rsidR="007A2F6F" w:rsidRPr="0085722A">
        <w:t>For the purpose of the present Convention, the following definitions are agreed upon:</w:t>
      </w:r>
    </w:p>
    <w:p w:rsidR="007A2F6F" w:rsidRPr="0085722A" w:rsidRDefault="00DF617D" w:rsidP="007A2F6F">
      <w:pPr>
        <w:pStyle w:val="JuQuot"/>
      </w:pPr>
      <w:r>
        <w:t>1.  </w:t>
      </w:r>
      <w:r w:rsidR="007A2F6F" w:rsidRPr="0085722A">
        <w:t>Slavery is the status or condition of a person over whom any or all of the powers attaching to the righ</w:t>
      </w:r>
      <w:r>
        <w:t>t of ownership are exercised;</w:t>
      </w:r>
    </w:p>
    <w:p w:rsidR="007A2F6F" w:rsidRPr="0085722A" w:rsidRDefault="007A2F6F" w:rsidP="007A2F6F">
      <w:pPr>
        <w:pStyle w:val="JuQuot"/>
      </w:pPr>
      <w:r w:rsidRPr="0085722A">
        <w:t>2. </w:t>
      </w:r>
      <w:r w:rsidR="00DF617D">
        <w:t> </w:t>
      </w:r>
      <w:r w:rsidRPr="0085722A">
        <w:t>The slave trade includes all acts involved in the capture, acquisition or disposal of a person with intent to reduce him to slavery; all acts involved in the acquisition of a slave with a view to selling or exchanging him; all acts of disposal by sale or exchange of a slave acquired with a view to being sold or exchanged, and, in general, every act of trade or transport in slaves.</w:t>
      </w:r>
      <w:r w:rsidR="00DF617D">
        <w:t>”</w:t>
      </w:r>
    </w:p>
    <w:p w:rsidR="007A2F6F" w:rsidRPr="0085722A" w:rsidRDefault="007A2F6F" w:rsidP="00DF617D">
      <w:pPr>
        <w:pStyle w:val="JuHArticle"/>
      </w:pPr>
      <w:r w:rsidRPr="0085722A">
        <w:t>Article 4</w:t>
      </w:r>
    </w:p>
    <w:p w:rsidR="007A2F6F" w:rsidRPr="0085722A" w:rsidRDefault="00DF617D" w:rsidP="007A2F6F">
      <w:pPr>
        <w:pStyle w:val="JuQuot"/>
      </w:pPr>
      <w:r>
        <w:t>“</w:t>
      </w:r>
      <w:r w:rsidR="007A2F6F" w:rsidRPr="0085722A">
        <w:t>The High Contracting Parties shall give to one another every assistance with the object of securing the abolition of slavery and the slave trade.</w:t>
      </w:r>
      <w:r>
        <w:t>”</w:t>
      </w:r>
    </w:p>
    <w:p w:rsidR="007A2F6F" w:rsidRPr="0085722A" w:rsidRDefault="007A2F6F" w:rsidP="00DF617D">
      <w:pPr>
        <w:pStyle w:val="JuHArticle"/>
      </w:pPr>
      <w:r w:rsidRPr="0085722A">
        <w:t>Article 5</w:t>
      </w:r>
    </w:p>
    <w:p w:rsidR="007A2F6F" w:rsidRPr="0085722A" w:rsidRDefault="00DF617D" w:rsidP="007A2F6F">
      <w:pPr>
        <w:pStyle w:val="JuQuot"/>
      </w:pPr>
      <w:r>
        <w:t>“</w:t>
      </w:r>
      <w:r w:rsidR="007A2F6F" w:rsidRPr="0085722A">
        <w:t>The High Contracting Parties recognise that recourse to compulsory or forced labour may have grave consequences and undertake, each in respect of the territories placed under its sovereignty, jurisdiction, protection, suzerainty or tutelage, to take all necessary measures to prevent compulsory or forced labour from developing into conditions analogous to slavery.</w:t>
      </w:r>
    </w:p>
    <w:p w:rsidR="007A2F6F" w:rsidRPr="0085722A" w:rsidRDefault="007A2F6F" w:rsidP="007A2F6F">
      <w:pPr>
        <w:pStyle w:val="JuQuot"/>
      </w:pPr>
      <w:r w:rsidRPr="0085722A">
        <w:t>It is agreed that:</w:t>
      </w:r>
    </w:p>
    <w:p w:rsidR="007A2F6F" w:rsidRPr="0085722A" w:rsidRDefault="007A2F6F" w:rsidP="007A2F6F">
      <w:pPr>
        <w:pStyle w:val="JuQuot"/>
      </w:pPr>
      <w:r w:rsidRPr="0085722A">
        <w:t>1. </w:t>
      </w:r>
      <w:r w:rsidR="00DF617D">
        <w:t> </w:t>
      </w:r>
      <w:r w:rsidRPr="0085722A">
        <w:t>Subject to the transitional provisio</w:t>
      </w:r>
      <w:r w:rsidR="00DF617D">
        <w:t>ns laid down in paragraph 2</w:t>
      </w:r>
      <w:r w:rsidRPr="0085722A">
        <w:t xml:space="preserve"> below, compulsory or forced labour may only be exacted for public purposes;</w:t>
      </w:r>
    </w:p>
    <w:p w:rsidR="007A2F6F" w:rsidRPr="0085722A" w:rsidRDefault="007A2F6F" w:rsidP="007A2F6F">
      <w:pPr>
        <w:pStyle w:val="JuQuot"/>
      </w:pPr>
      <w:r w:rsidRPr="0085722A">
        <w:t>2. </w:t>
      </w:r>
      <w:r w:rsidR="00DF617D">
        <w:t> </w:t>
      </w:r>
      <w:r w:rsidRPr="0085722A">
        <w:t>In territories in which compulsory or forced labour for other than public purposes still survives, the High Contracting Parties shall endeavour progressively and as soon as possible to put an end to the practice. So long as such forced or compulsory labour exists, this labour shall invariably be of an exceptional character, shall always receive adequate remuneration, and shall not involve the removal of the labourers from their usual place of residence;</w:t>
      </w:r>
    </w:p>
    <w:p w:rsidR="007A2F6F" w:rsidRPr="0085722A" w:rsidRDefault="007A2F6F" w:rsidP="007A2F6F">
      <w:pPr>
        <w:pStyle w:val="JuQuot"/>
      </w:pPr>
      <w:r w:rsidRPr="0085722A">
        <w:t>3. </w:t>
      </w:r>
      <w:r w:rsidR="00DF617D">
        <w:t> </w:t>
      </w:r>
      <w:r w:rsidRPr="0085722A">
        <w:t>In all cases, the responsibility for any recourse to compulsory or forced labour shall rest with the competent central authorities of the territory concerned.”</w:t>
      </w:r>
    </w:p>
    <w:p w:rsidR="00C63C92" w:rsidRDefault="00903A34" w:rsidP="00EC06DB">
      <w:pPr>
        <w:pStyle w:val="JuH1"/>
      </w:pPr>
      <w:r w:rsidRPr="003F764E">
        <w:t>(c)  </w:t>
      </w:r>
      <w:r w:rsidR="007A2F6F" w:rsidRPr="003F764E">
        <w:t>Supplementary Convention on the Abolition of Slavery, the Slave Trade, and Institutions and Practices Similar to Slavery, adopted on 30 April 1956</w:t>
      </w:r>
      <w:r w:rsidR="00DF617D" w:rsidRPr="003F764E">
        <w:t xml:space="preserve"> and which came</w:t>
      </w:r>
      <w:r w:rsidR="007A2F6F" w:rsidRPr="003F764E">
        <w:t xml:space="preserve"> into force in respect of </w:t>
      </w:r>
      <w:smartTag w:uri="urn:schemas-microsoft-com:office:smarttags" w:element="place">
        <w:smartTag w:uri="urn:schemas-microsoft-com:office:smarttags" w:element="country-region">
          <w:r w:rsidR="007A2F6F" w:rsidRPr="003F764E">
            <w:t>France</w:t>
          </w:r>
        </w:smartTag>
      </w:smartTag>
      <w:r w:rsidR="007A2F6F" w:rsidRPr="003F764E">
        <w:t xml:space="preserve"> on 26</w:t>
      </w:r>
      <w:r w:rsidR="00EC06DB">
        <w:t> </w:t>
      </w:r>
      <w:r w:rsidR="007A2F6F" w:rsidRPr="003F764E">
        <w:t>May 1964</w:t>
      </w:r>
    </w:p>
    <w:p w:rsidR="007A2F6F" w:rsidRPr="0085722A" w:rsidRDefault="007A2F6F" w:rsidP="001405DC">
      <w:pPr>
        <w:pStyle w:val="JuHArticle"/>
      </w:pPr>
      <w:smartTag w:uri="urn:schemas-microsoft-com:office:smarttags" w:element="place">
        <w:smartTag w:uri="urn:schemas:contacts" w:element="Sn">
          <w:r w:rsidRPr="0085722A">
            <w:t>Section</w:t>
          </w:r>
        </w:smartTag>
        <w:r w:rsidR="001405DC">
          <w:t xml:space="preserve"> </w:t>
        </w:r>
        <w:smartTag w:uri="urn:schemas:contacts" w:element="Sn">
          <w:r w:rsidR="00EC06DB">
            <w:t>I</w:t>
          </w:r>
          <w:r w:rsidRPr="0085722A">
            <w:t>.</w:t>
          </w:r>
        </w:smartTag>
      </w:smartTag>
      <w:r w:rsidRPr="0085722A">
        <w:t xml:space="preserve"> Institutions and practices similar to slavery</w:t>
      </w:r>
    </w:p>
    <w:p w:rsidR="00C63C92" w:rsidRDefault="007A2F6F" w:rsidP="003F764E">
      <w:pPr>
        <w:pStyle w:val="JuHArticle"/>
        <w:rPr>
          <w:rStyle w:val="Emphasis"/>
          <w:i w:val="0"/>
          <w:iCs w:val="0"/>
        </w:rPr>
      </w:pPr>
      <w:r w:rsidRPr="003F764E">
        <w:rPr>
          <w:rStyle w:val="Emphasis"/>
          <w:i w:val="0"/>
          <w:iCs w:val="0"/>
        </w:rPr>
        <w:t>Article</w:t>
      </w:r>
      <w:r w:rsidRPr="0085722A">
        <w:rPr>
          <w:rStyle w:val="Emphasis"/>
          <w:i w:val="0"/>
          <w:iCs w:val="0"/>
        </w:rPr>
        <w:t xml:space="preserve"> </w:t>
      </w:r>
      <w:r w:rsidR="001405DC">
        <w:rPr>
          <w:rStyle w:val="Emphasis"/>
          <w:i w:val="0"/>
          <w:iCs w:val="0"/>
        </w:rPr>
        <w:t>1</w:t>
      </w:r>
    </w:p>
    <w:p w:rsidR="00C63C92" w:rsidRDefault="003F764E" w:rsidP="007A2F6F">
      <w:pPr>
        <w:pStyle w:val="JuQuot"/>
      </w:pPr>
      <w:r>
        <w:t>“</w:t>
      </w:r>
      <w:r w:rsidR="007A2F6F" w:rsidRPr="0085722A">
        <w:t xml:space="preserve">Each of the States Parties to this Convention shall take all practicable and necessary legislative and other measures to bring about progressively and as soon as possible the complete abolition or abandonment of the following institutions and practices, where they still exist and whether or not they are covered by the definition of slavery contained in </w:t>
      </w:r>
      <w:r>
        <w:t>A</w:t>
      </w:r>
      <w:r w:rsidR="007A2F6F" w:rsidRPr="0085722A">
        <w:t>rticle 1 of the Slavery Convention signed at Geneva on 25</w:t>
      </w:r>
      <w:r>
        <w:t> </w:t>
      </w:r>
      <w:r w:rsidR="007A2F6F" w:rsidRPr="0085722A">
        <w:t>September 1926:</w:t>
      </w:r>
    </w:p>
    <w:p w:rsidR="007A2F6F" w:rsidRPr="0085722A" w:rsidRDefault="007A2F6F" w:rsidP="007A2F6F">
      <w:pPr>
        <w:pStyle w:val="JuQuot"/>
      </w:pPr>
      <w:r w:rsidRPr="0085722A">
        <w:t>(a)  Debt bondage, that is to say, the status or condition arising from a pledge by a debtor of his personal services or of those of a person under his control as security for a debt, if the value of those services as reasonably assessed is not applied towards the liquidation of the debt or the length and nature of those services are not respectively limited and defined;</w:t>
      </w:r>
    </w:p>
    <w:p w:rsidR="001405DC" w:rsidRDefault="007A2F6F" w:rsidP="007A2F6F">
      <w:pPr>
        <w:pStyle w:val="JuQuot"/>
      </w:pPr>
      <w:r w:rsidRPr="0085722A">
        <w:t>(b)  Serfdom, that is to say, the condition or status of a tenant who is by law, custom or agreement bound to live and labour on land belonging to another person and to render some determinate service to such other person, whether for reward or not, and is</w:t>
      </w:r>
      <w:r w:rsidR="001405DC">
        <w:t xml:space="preserve"> not free to change his status;</w:t>
      </w:r>
    </w:p>
    <w:p w:rsidR="007A2F6F" w:rsidRPr="0085722A" w:rsidRDefault="007A2F6F" w:rsidP="007A2F6F">
      <w:pPr>
        <w:pStyle w:val="JuQuot"/>
      </w:pPr>
      <w:r w:rsidRPr="0085722A">
        <w:t>...</w:t>
      </w:r>
    </w:p>
    <w:p w:rsidR="007A2F6F" w:rsidRPr="0085722A" w:rsidRDefault="007A2F6F" w:rsidP="007A2F6F">
      <w:pPr>
        <w:pStyle w:val="JuQuot"/>
      </w:pPr>
      <w:r w:rsidRPr="0085722A">
        <w:t>(d)  Any institution or practice whereby a child or young person under the age of 18 years, is delivered by either or both of his natural parents or by his guardian to another person, whether for reward or not, with a view to the exploitation of the child or young person or of his labour.”</w:t>
      </w:r>
    </w:p>
    <w:p w:rsidR="00C63C92" w:rsidRDefault="00903A34" w:rsidP="00EC06DB">
      <w:pPr>
        <w:pStyle w:val="JuH1"/>
      </w:pPr>
      <w:r w:rsidRPr="003F764E">
        <w:t>(d)  </w:t>
      </w:r>
      <w:r w:rsidR="007A2F6F" w:rsidRPr="003F764E">
        <w:t>International Convention on the Rights of the Child, dated 20</w:t>
      </w:r>
      <w:r w:rsidR="00EC06DB">
        <w:t> </w:t>
      </w:r>
      <w:r w:rsidR="007A2F6F" w:rsidRPr="003F764E">
        <w:t>November 1989</w:t>
      </w:r>
      <w:r w:rsidR="00EC06DB">
        <w:t>,</w:t>
      </w:r>
      <w:r w:rsidR="007A2F6F" w:rsidRPr="003F764E">
        <w:t xml:space="preserve"> </w:t>
      </w:r>
      <w:r w:rsidR="001405DC" w:rsidRPr="003F764E">
        <w:t>which came</w:t>
      </w:r>
      <w:r w:rsidR="007A2F6F" w:rsidRPr="003F764E">
        <w:t xml:space="preserve"> into force in respect of </w:t>
      </w:r>
      <w:smartTag w:uri="urn:schemas-microsoft-com:office:smarttags" w:element="place">
        <w:smartTag w:uri="urn:schemas-microsoft-com:office:smarttags" w:element="country-region">
          <w:r w:rsidR="007A2F6F" w:rsidRPr="003F764E">
            <w:t>France</w:t>
          </w:r>
        </w:smartTag>
      </w:smartTag>
      <w:r w:rsidR="007A2F6F" w:rsidRPr="003F764E">
        <w:t xml:space="preserve"> on 6</w:t>
      </w:r>
      <w:r w:rsidR="00EC06DB">
        <w:t> </w:t>
      </w:r>
      <w:r w:rsidR="007A2F6F" w:rsidRPr="003F764E">
        <w:t>September 1990</w:t>
      </w:r>
    </w:p>
    <w:p w:rsidR="007A2F6F" w:rsidRPr="0085722A" w:rsidRDefault="007A2F6F" w:rsidP="001405DC">
      <w:pPr>
        <w:pStyle w:val="JuHArticle"/>
      </w:pPr>
      <w:r w:rsidRPr="0085722A">
        <w:t>Article 19</w:t>
      </w:r>
    </w:p>
    <w:p w:rsidR="007A2F6F" w:rsidRPr="0085722A" w:rsidRDefault="001405DC" w:rsidP="007A2F6F">
      <w:pPr>
        <w:pStyle w:val="JuQuot"/>
      </w:pPr>
      <w:r>
        <w:t>“</w:t>
      </w:r>
      <w:r w:rsidR="007A2F6F" w:rsidRPr="0085722A">
        <w:t>1. </w:t>
      </w:r>
      <w:r>
        <w:t> </w:t>
      </w:r>
      <w:r w:rsidR="007A2F6F" w:rsidRPr="0085722A">
        <w:t>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rsidR="007A2F6F" w:rsidRPr="0085722A" w:rsidRDefault="007A2F6F" w:rsidP="007A2F6F">
      <w:pPr>
        <w:pStyle w:val="JuQuot"/>
      </w:pPr>
      <w:r w:rsidRPr="0085722A">
        <w:t>2. </w:t>
      </w:r>
      <w:r w:rsidR="001405DC">
        <w:t> </w:t>
      </w:r>
      <w:r w:rsidRPr="0085722A">
        <w:t>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r w:rsidR="001405DC">
        <w:t>”</w:t>
      </w:r>
    </w:p>
    <w:p w:rsidR="007A2F6F" w:rsidRPr="0085722A" w:rsidRDefault="007A2F6F" w:rsidP="001405DC">
      <w:pPr>
        <w:pStyle w:val="JuHArticle"/>
      </w:pPr>
      <w:r w:rsidRPr="0085722A">
        <w:t>Article 32</w:t>
      </w:r>
    </w:p>
    <w:p w:rsidR="007A2F6F" w:rsidRPr="0085722A" w:rsidRDefault="001405DC" w:rsidP="007A2F6F">
      <w:pPr>
        <w:pStyle w:val="JuQuot"/>
      </w:pPr>
      <w:r>
        <w:t>“</w:t>
      </w:r>
      <w:r w:rsidR="007A2F6F" w:rsidRPr="0085722A">
        <w:t>1.</w:t>
      </w:r>
      <w:r>
        <w:t> </w:t>
      </w:r>
      <w:r w:rsidR="007A2F6F" w:rsidRPr="0085722A">
        <w:t> States Parties recogni</w:t>
      </w:r>
      <w:r w:rsidR="00EC06DB">
        <w:t>s</w:t>
      </w:r>
      <w:r w:rsidR="007A2F6F" w:rsidRPr="0085722A">
        <w:t>e the right of the child to be protected from economic exploitation and from performing any work that is likely to be hazardous or to interfere with the child</w:t>
      </w:r>
      <w:r w:rsidR="00C63C92">
        <w:t>'</w:t>
      </w:r>
      <w:r w:rsidR="007A2F6F" w:rsidRPr="0085722A">
        <w:t>s education, or to be harmful to the child</w:t>
      </w:r>
      <w:r w:rsidR="00C63C92">
        <w:t>'</w:t>
      </w:r>
      <w:r w:rsidR="007A2F6F" w:rsidRPr="0085722A">
        <w:t>s health or physical, mental, spiritual, moral or social development.</w:t>
      </w:r>
    </w:p>
    <w:p w:rsidR="007A2F6F" w:rsidRPr="0085722A" w:rsidRDefault="007A2F6F" w:rsidP="007A2F6F">
      <w:pPr>
        <w:pStyle w:val="JuQuot"/>
      </w:pPr>
      <w:r w:rsidRPr="0085722A">
        <w:t>2. </w:t>
      </w:r>
      <w:r w:rsidR="001405DC">
        <w:t> </w:t>
      </w:r>
      <w:r w:rsidRPr="0085722A">
        <w:t xml:space="preserve">States Parties shall take legislative, administrative, social and educational measures to ensure the implementation of the present </w:t>
      </w:r>
      <w:r w:rsidR="001405DC">
        <w:t>A</w:t>
      </w:r>
      <w:r w:rsidRPr="0085722A">
        <w:t>rticle. To this end, and having regard to the relevant provisions of other international instruments, States Parties shall in particular:</w:t>
      </w:r>
    </w:p>
    <w:p w:rsidR="007A2F6F" w:rsidRPr="0085722A" w:rsidRDefault="007A2F6F" w:rsidP="007A2F6F">
      <w:pPr>
        <w:pStyle w:val="JuQuot"/>
      </w:pPr>
      <w:r w:rsidRPr="0085722A">
        <w:t>(a) </w:t>
      </w:r>
      <w:r w:rsidR="001405DC">
        <w:t> </w:t>
      </w:r>
      <w:r w:rsidRPr="0085722A">
        <w:t>Provide for a minimum age or minimum ages for admission to employment;</w:t>
      </w:r>
    </w:p>
    <w:p w:rsidR="007A2F6F" w:rsidRPr="0085722A" w:rsidRDefault="007A2F6F" w:rsidP="007A2F6F">
      <w:pPr>
        <w:pStyle w:val="JuQuot"/>
      </w:pPr>
      <w:r w:rsidRPr="0085722A">
        <w:t>(b) </w:t>
      </w:r>
      <w:r w:rsidR="001405DC">
        <w:t> </w:t>
      </w:r>
      <w:r w:rsidRPr="0085722A">
        <w:t>Provide for appropriate regulation of the hours and conditions of employment;</w:t>
      </w:r>
    </w:p>
    <w:p w:rsidR="007A2F6F" w:rsidRPr="0085722A" w:rsidRDefault="001405DC" w:rsidP="007A2F6F">
      <w:pPr>
        <w:pStyle w:val="JuQuot"/>
      </w:pPr>
      <w:r>
        <w:t>(c)</w:t>
      </w:r>
      <w:r w:rsidRPr="001405DC">
        <w:t>  </w:t>
      </w:r>
      <w:r w:rsidR="007A2F6F" w:rsidRPr="0085722A">
        <w:t>Provide for appropriate penalties or other sanctions to ensure the effect</w:t>
      </w:r>
      <w:r>
        <w:t>ive enforcement of the present A</w:t>
      </w:r>
      <w:r w:rsidR="007A2F6F" w:rsidRPr="0085722A">
        <w:t>rticle.</w:t>
      </w:r>
      <w:r>
        <w:t>”</w:t>
      </w:r>
    </w:p>
    <w:p w:rsidR="007A2F6F" w:rsidRPr="0085722A" w:rsidRDefault="007A2F6F" w:rsidP="001405DC">
      <w:pPr>
        <w:pStyle w:val="JuHArticle"/>
      </w:pPr>
      <w:r w:rsidRPr="0085722A">
        <w:t>Article 36</w:t>
      </w:r>
    </w:p>
    <w:p w:rsidR="007A2F6F" w:rsidRPr="0085722A" w:rsidRDefault="001405DC" w:rsidP="007A2F6F">
      <w:pPr>
        <w:pStyle w:val="JuQuot"/>
        <w:rPr>
          <w:sz w:val="11"/>
          <w:szCs w:val="11"/>
        </w:rPr>
      </w:pPr>
      <w:r>
        <w:t>“</w:t>
      </w:r>
      <w:r w:rsidR="007A2F6F" w:rsidRPr="0085722A">
        <w:t>States Parties shall protect the child against all other forms of exploitation prejudicial to any a</w:t>
      </w:r>
      <w:r>
        <w:t>spects of the child</w:t>
      </w:r>
      <w:r w:rsidR="00C63C92">
        <w:t>'</w:t>
      </w:r>
      <w:r>
        <w:t>s welfare.”</w:t>
      </w:r>
    </w:p>
    <w:p w:rsidR="00CD49A7" w:rsidRPr="0085722A" w:rsidRDefault="00CD49A7">
      <w:pPr>
        <w:pStyle w:val="JuHHead"/>
      </w:pPr>
      <w:r w:rsidRPr="0085722A">
        <w:t>THE LAW</w:t>
      </w:r>
    </w:p>
    <w:p w:rsidR="007A2F6F" w:rsidRPr="0085722A" w:rsidRDefault="007A2F6F" w:rsidP="007A2F6F">
      <w:pPr>
        <w:pStyle w:val="JuHIRoman"/>
      </w:pPr>
      <w:r w:rsidRPr="0085722A">
        <w:t>I.  ALLEGED VIOLATION OF ARTICLE 4 OF THE CONVENTION</w:t>
      </w:r>
    </w:p>
    <w:p w:rsidR="007A2F6F" w:rsidRPr="0085722A" w:rsidRDefault="007A2F6F" w:rsidP="007A2F6F">
      <w:pPr>
        <w:pStyle w:val="JuPara"/>
      </w:pPr>
      <w:r w:rsidRPr="0085722A">
        <w:fldChar w:fldCharType="begin"/>
      </w:r>
      <w:r w:rsidRPr="0085722A">
        <w:instrText xml:space="preserve"> SEQ level0 \*arabic </w:instrText>
      </w:r>
      <w:r w:rsidRPr="0085722A">
        <w:fldChar w:fldCharType="separate"/>
      </w:r>
      <w:r w:rsidR="00E97C1C">
        <w:rPr>
          <w:noProof/>
        </w:rPr>
        <w:t>52</w:t>
      </w:r>
      <w:r w:rsidRPr="0085722A">
        <w:fldChar w:fldCharType="end"/>
      </w:r>
      <w:r w:rsidRPr="0085722A">
        <w:t>.  The applicant complained that there had been a violation of Article 4 of the Convention. This provision states</w:t>
      </w:r>
      <w:r w:rsidR="00EC06DB">
        <w:t xml:space="preserve">, </w:t>
      </w:r>
      <w:r w:rsidR="00EC06DB">
        <w:rPr>
          <w:i/>
        </w:rPr>
        <w:t>inter alia</w:t>
      </w:r>
      <w:r w:rsidRPr="0085722A">
        <w:t>:</w:t>
      </w:r>
    </w:p>
    <w:p w:rsidR="007A2F6F" w:rsidRPr="0085722A" w:rsidRDefault="007A2F6F" w:rsidP="007A2F6F">
      <w:pPr>
        <w:pStyle w:val="JuQuot"/>
      </w:pPr>
      <w:r w:rsidRPr="0085722A">
        <w:t>“1.  No one shall be held in slavery or servitude.</w:t>
      </w:r>
    </w:p>
    <w:p w:rsidR="004D1C7F" w:rsidRDefault="007A2F6F" w:rsidP="007A2F6F">
      <w:pPr>
        <w:pStyle w:val="JuQuot"/>
      </w:pPr>
      <w:r w:rsidRPr="0085722A">
        <w:t>2.  No one shall be required to perform</w:t>
      </w:r>
      <w:r w:rsidR="0076696D">
        <w:t xml:space="preserve"> forced or compulsory labour.</w:t>
      </w:r>
    </w:p>
    <w:p w:rsidR="007A2F6F" w:rsidRPr="0085722A" w:rsidRDefault="004D1C7F" w:rsidP="007A2F6F">
      <w:pPr>
        <w:pStyle w:val="JuQuot"/>
      </w:pPr>
      <w:r>
        <w:t>...</w:t>
      </w:r>
      <w:r w:rsidR="0076696D">
        <w:t>”</w:t>
      </w:r>
    </w:p>
    <w:p w:rsidR="007A2F6F" w:rsidRPr="0085722A" w:rsidRDefault="007A2F6F" w:rsidP="00ED64B2">
      <w:pPr>
        <w:pStyle w:val="JuHA"/>
        <w:spacing w:line="360" w:lineRule="auto"/>
      </w:pPr>
      <w:r w:rsidRPr="0085722A">
        <w:t>A.  </w:t>
      </w:r>
      <w:r w:rsidR="00C42BB2" w:rsidRPr="0085722A">
        <w:t>Whether</w:t>
      </w:r>
      <w:r w:rsidR="007D2E22" w:rsidRPr="0085722A">
        <w:t xml:space="preserve"> the </w:t>
      </w:r>
      <w:r w:rsidR="00C42BB2" w:rsidRPr="0085722A">
        <w:t xml:space="preserve">applicant had </w:t>
      </w:r>
      <w:r w:rsidR="007D2E22" w:rsidRPr="0085722A">
        <w:t>“</w:t>
      </w:r>
      <w:r w:rsidRPr="0085722A">
        <w:t>victim</w:t>
      </w:r>
      <w:r w:rsidR="007D2E22" w:rsidRPr="0085722A">
        <w:t>” status</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53</w:t>
      </w:r>
      <w:r w:rsidRPr="0085722A">
        <w:fldChar w:fldCharType="end"/>
      </w:r>
      <w:r w:rsidRPr="0085722A">
        <w:t>.  The Government contended by way of primary submission that the applicant could no longer claim to be the victim of a violation of the Convention within the meaning of Article 34.</w:t>
      </w:r>
    </w:p>
    <w:p w:rsidR="00C63C92" w:rsidRDefault="007A2F6F" w:rsidP="00BB6E80">
      <w:pPr>
        <w:pStyle w:val="JuPara"/>
      </w:pPr>
      <w:r w:rsidRPr="0085722A">
        <w:t xml:space="preserve">They </w:t>
      </w:r>
      <w:r w:rsidR="00C42BB2" w:rsidRPr="0085722A">
        <w:t xml:space="preserve">stated </w:t>
      </w:r>
      <w:r w:rsidRPr="0085722A">
        <w:t xml:space="preserve">at the outset that they did not contest that the applicant </w:t>
      </w:r>
      <w:r w:rsidR="00C42BB2" w:rsidRPr="0085722A">
        <w:t xml:space="preserve">had </w:t>
      </w:r>
      <w:r w:rsidRPr="0085722A">
        <w:t>been the victim of particularly reprehensible conduct on the part of the couple who had taken her in</w:t>
      </w:r>
      <w:r w:rsidR="00300092" w:rsidRPr="0085722A">
        <w:t xml:space="preserve">, </w:t>
      </w:r>
      <w:r w:rsidRPr="0085722A">
        <w:t>or that the Paris Court of Appeal</w:t>
      </w:r>
      <w:r w:rsidR="00C63C92">
        <w:t>'</w:t>
      </w:r>
      <w:r w:rsidR="00300092" w:rsidRPr="0085722A">
        <w:t xml:space="preserve">s judgment of </w:t>
      </w:r>
      <w:smartTag w:uri="urn:schemas-microsoft-com:office:smarttags" w:element="date">
        <w:smartTagPr>
          <w:attr w:name="Month" w:val="10"/>
          <w:attr w:name="Day" w:val="19"/>
          <w:attr w:name="Year" w:val="2000"/>
        </w:smartTagPr>
        <w:r w:rsidRPr="0085722A">
          <w:t>19 October 2000</w:t>
        </w:r>
      </w:smartTag>
      <w:r w:rsidRPr="0085722A">
        <w:t xml:space="preserve"> had failed to acknowledge</w:t>
      </w:r>
      <w:r w:rsidR="00C42BB2" w:rsidRPr="0085722A">
        <w:t xml:space="preserve"> the reality</w:t>
      </w:r>
      <w:r w:rsidR="00300092" w:rsidRPr="0085722A">
        <w:t xml:space="preserve"> of that situation</w:t>
      </w:r>
      <w:r w:rsidR="00C42BB2" w:rsidRPr="0085722A">
        <w:t xml:space="preserve"> as a matter of law</w:t>
      </w:r>
      <w:r w:rsidRPr="0085722A">
        <w:t>. However, they noted that the applicant had not appealed against the first-instance judgment which had convicted her “employers” solely on the basis of Article 225-13 of the Criminal Code and that it should be concluded from this that she had accepted the</w:t>
      </w:r>
      <w:r w:rsidR="00300092" w:rsidRPr="0085722A">
        <w:t>ir</w:t>
      </w:r>
      <w:r w:rsidRPr="0085722A">
        <w:t xml:space="preserve"> conviction </w:t>
      </w:r>
      <w:r w:rsidR="00300092" w:rsidRPr="0085722A">
        <w:t xml:space="preserve">under </w:t>
      </w:r>
      <w:r w:rsidR="00783B7C">
        <w:t>that A</w:t>
      </w:r>
      <w:r w:rsidRPr="0085722A">
        <w:t>rticle alone.</w:t>
      </w:r>
    </w:p>
    <w:p w:rsidR="00C63C92" w:rsidRDefault="007A2F6F" w:rsidP="00BB6E80">
      <w:pPr>
        <w:pStyle w:val="JuPara"/>
      </w:pPr>
      <w:r w:rsidRPr="0085722A">
        <w:t>Accordingly, the applicant could not use the absence of a conviction under Article 225-14 of the Criminal Code to argue that she still ha</w:t>
      </w:r>
      <w:r w:rsidR="00300092" w:rsidRPr="0085722A">
        <w:t>d</w:t>
      </w:r>
      <w:r w:rsidRPr="0085722A">
        <w:t xml:space="preserve"> victim status.</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54</w:t>
      </w:r>
      <w:r w:rsidRPr="0085722A">
        <w:fldChar w:fldCharType="end"/>
      </w:r>
      <w:r w:rsidRPr="0085722A">
        <w:t>.</w:t>
      </w:r>
      <w:r w:rsidR="00300092" w:rsidRPr="0085722A">
        <w:t xml:space="preserve">  Furthermore, the </w:t>
      </w:r>
      <w:r w:rsidR="00C42BB2" w:rsidRPr="0085722A">
        <w:t xml:space="preserve">Government </w:t>
      </w:r>
      <w:r w:rsidR="00300092" w:rsidRPr="0085722A">
        <w:t xml:space="preserve">noted that </w:t>
      </w:r>
      <w:r w:rsidRPr="0085722A">
        <w:t>the applicant</w:t>
      </w:r>
      <w:r w:rsidR="00C63C92">
        <w:t>'</w:t>
      </w:r>
      <w:r w:rsidRPr="0085722A">
        <w:t xml:space="preserve">s appeal on points of law had still been pending when her application </w:t>
      </w:r>
      <w:r w:rsidR="00300092" w:rsidRPr="0085722A">
        <w:t xml:space="preserve">was </w:t>
      </w:r>
      <w:r w:rsidRPr="0085722A">
        <w:t xml:space="preserve">lodged with the Court. </w:t>
      </w:r>
      <w:r w:rsidR="00EC06DB">
        <w:t>However</w:t>
      </w:r>
      <w:r w:rsidRPr="0085722A">
        <w:t>, following the Court of Cassation</w:t>
      </w:r>
      <w:r w:rsidR="00C63C92">
        <w:t>'</w:t>
      </w:r>
      <w:r w:rsidRPr="0085722A">
        <w:t xml:space="preserve">s judgment quashing the ruling by the Paris Court of Appeal, the court of appeal to which the case was </w:t>
      </w:r>
      <w:r w:rsidR="00300092" w:rsidRPr="0085722A">
        <w:t xml:space="preserve">subsequently </w:t>
      </w:r>
      <w:r w:rsidRPr="0085722A">
        <w:t xml:space="preserve">remitted </w:t>
      </w:r>
      <w:r w:rsidR="00C42BB2" w:rsidRPr="0085722A">
        <w:t xml:space="preserve">had </w:t>
      </w:r>
      <w:r w:rsidRPr="0085722A">
        <w:t>recognised the applicant</w:t>
      </w:r>
      <w:r w:rsidR="00C63C92">
        <w:t>'</w:t>
      </w:r>
      <w:r w:rsidRPr="0085722A">
        <w:t xml:space="preserve">s </w:t>
      </w:r>
      <w:r w:rsidR="00300092" w:rsidRPr="0085722A">
        <w:t xml:space="preserve">state of </w:t>
      </w:r>
      <w:r w:rsidRPr="0085722A">
        <w:t xml:space="preserve">dependence and vulnerability within the meaning of Article 225-13 of the Criminal Code, as well as the exploitation </w:t>
      </w:r>
      <w:r w:rsidR="00300092" w:rsidRPr="0085722A">
        <w:t>to which she had been subjected</w:t>
      </w:r>
      <w:r w:rsidRPr="0085722A">
        <w:t xml:space="preserve">, </w:t>
      </w:r>
      <w:r w:rsidR="00300092" w:rsidRPr="0085722A">
        <w:t>alt</w:t>
      </w:r>
      <w:r w:rsidRPr="0085722A">
        <w:t>hough it had been required only to examine the civil claims. They emphasised that, in line with the case-law, a decision or measure favourable to an applicant</w:t>
      </w:r>
      <w:r w:rsidR="00300092" w:rsidRPr="0085722A">
        <w:t xml:space="preserve"> was </w:t>
      </w:r>
      <w:r w:rsidRPr="0085722A">
        <w:t>sufficient to deprive him or her of “victim” status</w:t>
      </w:r>
      <w:r w:rsidR="00300092" w:rsidRPr="0085722A">
        <w:t>,</w:t>
      </w:r>
      <w:r w:rsidRPr="0085722A">
        <w:t xml:space="preserve"> provided that the national authorities ha</w:t>
      </w:r>
      <w:r w:rsidR="00300092" w:rsidRPr="0085722A">
        <w:t>d</w:t>
      </w:r>
      <w:r w:rsidRPr="0085722A">
        <w:t xml:space="preserve"> acknowledged, either expressly or in substance, and then afforded redress for, the breach of the Convention.</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55</w:t>
      </w:r>
      <w:r w:rsidRPr="0085722A">
        <w:fldChar w:fldCharType="end"/>
      </w:r>
      <w:r w:rsidRPr="0085722A">
        <w:t xml:space="preserve">.  The Government concluded that the sanction imposed by the Versailles Court of Appeal was to be considered as having afforded redress for the violation alleged by the applicant before the Court, especially as she had not appealed on points of law against </w:t>
      </w:r>
      <w:r w:rsidR="00C42BB2" w:rsidRPr="0085722A">
        <w:t>its</w:t>
      </w:r>
      <w:r w:rsidRPr="0085722A">
        <w:t xml:space="preserve"> judgment. In addition, they pointed out that the </w:t>
      </w:r>
      <w:smartTag w:uri="urn:schemas-microsoft-com:office:smarttags" w:element="place">
        <w:smartTag w:uri="urn:schemas-microsoft-com:office:smarttags" w:element="City">
          <w:r w:rsidRPr="0085722A">
            <w:t>Paris</w:t>
          </w:r>
        </w:smartTag>
      </w:smartTag>
      <w:r w:rsidRPr="0085722A">
        <w:t xml:space="preserve"> industrial tribunal had made awards in respect of unpaid wages and benefits.</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56</w:t>
      </w:r>
      <w:r w:rsidRPr="0085722A">
        <w:fldChar w:fldCharType="end"/>
      </w:r>
      <w:r w:rsidRPr="0085722A">
        <w:t>.  Finally, the applicant</w:t>
      </w:r>
      <w:r w:rsidR="00C63C92">
        <w:t>'</w:t>
      </w:r>
      <w:r w:rsidRPr="0085722A">
        <w:t xml:space="preserve">s </w:t>
      </w:r>
      <w:r w:rsidR="00C42BB2" w:rsidRPr="0085722A">
        <w:t>immigration status</w:t>
      </w:r>
      <w:r w:rsidRPr="0085722A">
        <w:t xml:space="preserve"> had been regularised and she had received a residence permit enabling her to </w:t>
      </w:r>
      <w:r w:rsidR="00C42BB2" w:rsidRPr="0085722A">
        <w:t xml:space="preserve">reside </w:t>
      </w:r>
      <w:r w:rsidRPr="0085722A">
        <w:t xml:space="preserve">in </w:t>
      </w:r>
      <w:smartTag w:uri="urn:schemas-microsoft-com:office:smarttags" w:element="place">
        <w:smartTag w:uri="urn:schemas-microsoft-com:office:smarttags" w:element="country-region">
          <w:r w:rsidRPr="0085722A">
            <w:t>France</w:t>
          </w:r>
        </w:smartTag>
      </w:smartTag>
      <w:r w:rsidRPr="0085722A">
        <w:t xml:space="preserve"> </w:t>
      </w:r>
      <w:r w:rsidR="00C42BB2" w:rsidRPr="0085722A">
        <w:t xml:space="preserve">lawfully </w:t>
      </w:r>
      <w:r w:rsidRPr="0085722A">
        <w:t>and to pursue her studies. In conclusion, the Government considered that the applicant could no longer claim to be the victim of a violation of the Convention within the meaning of Article 34.</w:t>
      </w:r>
    </w:p>
    <w:p w:rsidR="00C63C92"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57</w:t>
      </w:r>
      <w:r w:rsidRPr="0085722A">
        <w:fldChar w:fldCharType="end"/>
      </w:r>
      <w:r w:rsidRPr="0085722A">
        <w:t>.  The applicant did not dispute that certain measures and decisions had been taken which were favourable to her.</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58</w:t>
      </w:r>
      <w:r w:rsidRPr="0085722A">
        <w:fldChar w:fldCharType="end"/>
      </w:r>
      <w:r w:rsidRPr="0085722A">
        <w:t xml:space="preserve">.  However, she stressed that the national authorities had never </w:t>
      </w:r>
      <w:r w:rsidR="00300092" w:rsidRPr="0085722A">
        <w:t xml:space="preserve">acknowledged, </w:t>
      </w:r>
      <w:r w:rsidRPr="0085722A">
        <w:t xml:space="preserve">expressly or in substance, her complaint that the State had failed to comply with its positive </w:t>
      </w:r>
      <w:r w:rsidR="0076696D">
        <w:t xml:space="preserve">obligation, inherent in Article </w:t>
      </w:r>
      <w:r w:rsidRPr="0085722A">
        <w:t xml:space="preserve">4, to secure tangible and effective protection against the practices prohibited by this Article and </w:t>
      </w:r>
      <w:r w:rsidR="00300092" w:rsidRPr="0085722A">
        <w:t xml:space="preserve">to </w:t>
      </w:r>
      <w:r w:rsidRPr="0085722A">
        <w:t xml:space="preserve">which she had been subjected </w:t>
      </w:r>
      <w:r w:rsidR="00300092" w:rsidRPr="0085722A">
        <w:t>b</w:t>
      </w:r>
      <w:r w:rsidRPr="0085722A">
        <w:t>y Mr and Mrs B. Only a civil remedy had been provided.</w:t>
      </w:r>
    </w:p>
    <w:p w:rsidR="00C63C92"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59</w:t>
      </w:r>
      <w:r w:rsidRPr="0085722A">
        <w:fldChar w:fldCharType="end"/>
      </w:r>
      <w:r w:rsidRPr="0085722A">
        <w:t>.  She alleged that Articles 225-13 and 225-14 of the Criminal Code</w:t>
      </w:r>
      <w:r w:rsidR="00300092" w:rsidRPr="0085722A">
        <w:t xml:space="preserve">, as worded at the material time, </w:t>
      </w:r>
      <w:r w:rsidRPr="0085722A">
        <w:t>w</w:t>
      </w:r>
      <w:r w:rsidR="00300092" w:rsidRPr="0085722A">
        <w:t xml:space="preserve">ere </w:t>
      </w:r>
      <w:r w:rsidRPr="0085722A">
        <w:t xml:space="preserve">too open and elusive, and in such divergence with the European and international criteria for defining servitude and forced or </w:t>
      </w:r>
      <w:r w:rsidR="003F764E">
        <w:t>compulsory</w:t>
      </w:r>
      <w:r w:rsidR="003F764E" w:rsidRPr="0085722A">
        <w:t xml:space="preserve"> </w:t>
      </w:r>
      <w:r w:rsidRPr="0085722A">
        <w:t>labour that she had not been secured effective and sufficient protection against the practices to which she had been subjected.</w:t>
      </w:r>
    </w:p>
    <w:p w:rsidR="007A2F6F" w:rsidRPr="00783B7C" w:rsidRDefault="007A2F6F" w:rsidP="003F764E">
      <w:pPr>
        <w:pStyle w:val="JuPara"/>
      </w:pPr>
      <w:r w:rsidRPr="0085722A">
        <w:fldChar w:fldCharType="begin"/>
      </w:r>
      <w:r w:rsidRPr="0085722A">
        <w:instrText xml:space="preserve"> SEQ level0 \*arabic </w:instrText>
      </w:r>
      <w:r w:rsidRPr="0085722A">
        <w:fldChar w:fldCharType="separate"/>
      </w:r>
      <w:r w:rsidR="00E97C1C">
        <w:rPr>
          <w:noProof/>
        </w:rPr>
        <w:t>60</w:t>
      </w:r>
      <w:r w:rsidRPr="0085722A">
        <w:fldChar w:fldCharType="end"/>
      </w:r>
      <w:r w:rsidRPr="0085722A">
        <w:t>.  Article 34 of the Convention provides</w:t>
      </w:r>
      <w:r w:rsidR="00EC06DB">
        <w:t xml:space="preserve"> that</w:t>
      </w:r>
      <w:r w:rsidR="003F764E">
        <w:t xml:space="preserve"> </w:t>
      </w:r>
      <w:r w:rsidRPr="00783B7C">
        <w:t>“</w:t>
      </w:r>
      <w:r w:rsidR="00EC06DB">
        <w:t>[t]</w:t>
      </w:r>
      <w:r w:rsidR="00C42BB2" w:rsidRPr="00783B7C">
        <w:t xml:space="preserve">he </w:t>
      </w:r>
      <w:r w:rsidRPr="00783B7C">
        <w:t>Court may receive applications from any person</w:t>
      </w:r>
      <w:r w:rsidR="00783B7C">
        <w:t xml:space="preserve"> </w:t>
      </w:r>
      <w:r w:rsidR="00783B7C" w:rsidRPr="0085722A">
        <w:t>...</w:t>
      </w:r>
      <w:r w:rsidRPr="00783B7C">
        <w:t xml:space="preserve"> claiming to be the victim of a violation by one of the High Contracting Parties of the rights set forth in the Convention or the Protocols thereto</w:t>
      </w:r>
      <w:r w:rsidR="00783B7C">
        <w:t xml:space="preserve"> </w:t>
      </w:r>
      <w:r w:rsidR="00783B7C" w:rsidRPr="0085722A">
        <w:t>...</w:t>
      </w:r>
      <w:r w:rsidR="00783B7C">
        <w:t>”</w:t>
      </w:r>
      <w:r w:rsidR="00563C11">
        <w:t>.</w:t>
      </w:r>
    </w:p>
    <w:p w:rsidR="007A2F6F" w:rsidRPr="0085722A" w:rsidRDefault="007A2F6F" w:rsidP="00BB6E80">
      <w:pPr>
        <w:pStyle w:val="JuPara"/>
        <w:rPr>
          <w:lang w:eastAsia="en-US"/>
        </w:rPr>
      </w:pPr>
      <w:r w:rsidRPr="0085722A">
        <w:fldChar w:fldCharType="begin"/>
      </w:r>
      <w:r w:rsidRPr="0085722A">
        <w:instrText xml:space="preserve"> SEQ level0 \*arabic </w:instrText>
      </w:r>
      <w:r w:rsidRPr="0085722A">
        <w:fldChar w:fldCharType="separate"/>
      </w:r>
      <w:r w:rsidR="00E97C1C">
        <w:rPr>
          <w:noProof/>
        </w:rPr>
        <w:t>61</w:t>
      </w:r>
      <w:r w:rsidRPr="0085722A">
        <w:fldChar w:fldCharType="end"/>
      </w:r>
      <w:r w:rsidRPr="0085722A">
        <w:t xml:space="preserve">.  The Court reiterates that it falls first to the national authorities to redress any alleged violation of the Convention. In this regard, the question whether an applicant can claim to be the victim of the violation alleged is relevant at all stages of the proceedings under the Convention (see </w:t>
      </w:r>
      <w:r w:rsidRPr="0085722A">
        <w:rPr>
          <w:i/>
          <w:lang w:eastAsia="en-US"/>
        </w:rPr>
        <w:t>Karahalios v. Greece</w:t>
      </w:r>
      <w:r w:rsidRPr="0085722A">
        <w:rPr>
          <w:lang w:eastAsia="en-US"/>
        </w:rPr>
        <w:t xml:space="preserve">, no. 62503/00, § </w:t>
      </w:r>
      <w:r w:rsidRPr="0085722A">
        <w:t>21</w:t>
      </w:r>
      <w:r w:rsidRPr="0085722A">
        <w:rPr>
          <w:lang w:eastAsia="en-US"/>
        </w:rPr>
        <w:t>, 11 December 2003</w:t>
      </w:r>
      <w:r w:rsidR="00783B7C">
        <w:rPr>
          <w:lang w:eastAsia="en-US"/>
        </w:rPr>
        <w:t>,</w:t>
      </w:r>
      <w:r w:rsidRPr="0085722A">
        <w:t xml:space="preserve"> and </w:t>
      </w:r>
      <w:r w:rsidRPr="0085722A">
        <w:rPr>
          <w:i/>
          <w:lang w:eastAsia="en-US"/>
        </w:rPr>
        <w:t>Malama v. Greece</w:t>
      </w:r>
      <w:r w:rsidR="00563C11">
        <w:rPr>
          <w:i/>
          <w:lang w:eastAsia="en-US"/>
        </w:rPr>
        <w:t xml:space="preserve"> </w:t>
      </w:r>
      <w:r w:rsidR="00563C11">
        <w:rPr>
          <w:lang w:eastAsia="en-US"/>
        </w:rPr>
        <w:t>(dec.)</w:t>
      </w:r>
      <w:r w:rsidR="00783B7C">
        <w:rPr>
          <w:lang w:eastAsia="en-US"/>
        </w:rPr>
        <w:t xml:space="preserve">, no. 43622/98, </w:t>
      </w:r>
      <w:r w:rsidR="00903A34">
        <w:rPr>
          <w:lang w:eastAsia="en-US"/>
        </w:rPr>
        <w:t>25 November 1999</w:t>
      </w:r>
      <w:r w:rsidR="00783B7C">
        <w:rPr>
          <w:lang w:eastAsia="en-US"/>
        </w:rPr>
        <w:t>)</w:t>
      </w:r>
      <w:r w:rsidRPr="0085722A">
        <w:t>.</w:t>
      </w:r>
    </w:p>
    <w:p w:rsidR="007A2F6F" w:rsidRPr="0085722A" w:rsidRDefault="007A2F6F" w:rsidP="00BB6E80">
      <w:pPr>
        <w:pStyle w:val="JuPara"/>
        <w:rPr>
          <w:lang w:eastAsia="en-US"/>
        </w:rPr>
      </w:pPr>
      <w:r w:rsidRPr="0085722A">
        <w:fldChar w:fldCharType="begin"/>
      </w:r>
      <w:r w:rsidRPr="0085722A">
        <w:instrText xml:space="preserve"> SEQ level0 \*arabic </w:instrText>
      </w:r>
      <w:r w:rsidRPr="0085722A">
        <w:fldChar w:fldCharType="separate"/>
      </w:r>
      <w:r w:rsidR="00E97C1C">
        <w:rPr>
          <w:noProof/>
        </w:rPr>
        <w:t>62</w:t>
      </w:r>
      <w:r w:rsidRPr="0085722A">
        <w:fldChar w:fldCharType="end"/>
      </w:r>
      <w:r w:rsidRPr="0085722A">
        <w:t xml:space="preserve">.  It is the settled case-law of the Court that the word “victim” in the context of Article 34 of the Convention denotes the person directly affected by the act or omission in issue, the existence of a violation of the Convention being conceivable even in the absence of prejudice; prejudice is relevant only in the context of Article 41. Consequently, a decision or measure favourable to an applicant is not in principle sufficient to deprive him of his status as a “victim” unless the national authorities have acknowledged, either expressly or in substance, and then afforded redress for, the breach of the Convention (see, among other authorities, </w:t>
      </w:r>
      <w:r w:rsidRPr="0085722A">
        <w:rPr>
          <w:i/>
          <w:lang w:eastAsia="en-US"/>
        </w:rPr>
        <w:t>Amuur v. France</w:t>
      </w:r>
      <w:r w:rsidRPr="0085722A">
        <w:rPr>
          <w:lang w:eastAsia="en-US"/>
        </w:rPr>
        <w:t xml:space="preserve">, judgment of 25 June 1996, </w:t>
      </w:r>
      <w:r w:rsidRPr="0085722A">
        <w:rPr>
          <w:i/>
          <w:lang w:eastAsia="en-US"/>
        </w:rPr>
        <w:t>Reports of Judgments and Decisions</w:t>
      </w:r>
      <w:r w:rsidRPr="0085722A">
        <w:rPr>
          <w:lang w:eastAsia="en-US"/>
        </w:rPr>
        <w:t xml:space="preserve"> 1996</w:t>
      </w:r>
      <w:r w:rsidRPr="0085722A">
        <w:rPr>
          <w:lang w:eastAsia="en-US"/>
        </w:rPr>
        <w:noBreakHyphen/>
        <w:t xml:space="preserve">III, </w:t>
      </w:r>
      <w:r w:rsidRPr="0085722A">
        <w:t xml:space="preserve">p. 846, § 36; </w:t>
      </w:r>
      <w:r w:rsidRPr="0085722A">
        <w:rPr>
          <w:i/>
          <w:lang w:eastAsia="en-US"/>
        </w:rPr>
        <w:t>Brumărescu v. Romania</w:t>
      </w:r>
      <w:r w:rsidRPr="0085722A">
        <w:rPr>
          <w:lang w:eastAsia="en-US"/>
        </w:rPr>
        <w:t xml:space="preserve"> [GC], no. 28342/95, </w:t>
      </w:r>
      <w:r w:rsidRPr="0085722A">
        <w:t>§</w:t>
      </w:r>
      <w:r w:rsidR="0076696D">
        <w:t xml:space="preserve"> </w:t>
      </w:r>
      <w:r w:rsidRPr="0085722A">
        <w:t>50</w:t>
      </w:r>
      <w:r w:rsidRPr="0085722A">
        <w:rPr>
          <w:lang w:eastAsia="en-US"/>
        </w:rPr>
        <w:t>, ECHR 1999</w:t>
      </w:r>
      <w:r w:rsidRPr="0085722A">
        <w:rPr>
          <w:lang w:eastAsia="en-US"/>
        </w:rPr>
        <w:noBreakHyphen/>
        <w:t>VII</w:t>
      </w:r>
      <w:r w:rsidR="001A5F89" w:rsidRPr="0085722A">
        <w:rPr>
          <w:lang w:eastAsia="en-US"/>
        </w:rPr>
        <w:t>;</w:t>
      </w:r>
      <w:r w:rsidRPr="0085722A">
        <w:rPr>
          <w:lang w:eastAsia="en-US"/>
        </w:rPr>
        <w:t xml:space="preserve"> and</w:t>
      </w:r>
      <w:r w:rsidRPr="0085722A">
        <w:rPr>
          <w:i/>
          <w:lang w:eastAsia="en-US"/>
        </w:rPr>
        <w:t xml:space="preserve"> Association Ekin v. France</w:t>
      </w:r>
      <w:r w:rsidR="00563C11">
        <w:rPr>
          <w:lang w:eastAsia="en-US"/>
        </w:rPr>
        <w:t xml:space="preserve"> (dec.)</w:t>
      </w:r>
      <w:r w:rsidRPr="0085722A">
        <w:rPr>
          <w:lang w:eastAsia="en-US"/>
        </w:rPr>
        <w:t xml:space="preserve">, no. 39288/98, </w:t>
      </w:r>
      <w:r w:rsidR="00563C11">
        <w:rPr>
          <w:lang w:eastAsia="en-US"/>
        </w:rPr>
        <w:t>18 January 2000</w:t>
      </w:r>
      <w:r w:rsidRPr="0085722A">
        <w:t>).</w:t>
      </w:r>
    </w:p>
    <w:p w:rsidR="007A2F6F" w:rsidRPr="0085722A" w:rsidRDefault="007A2F6F" w:rsidP="00BB6E80">
      <w:pPr>
        <w:pStyle w:val="JuPara"/>
        <w:rPr>
          <w:lang w:eastAsia="en-US"/>
        </w:rPr>
      </w:pPr>
      <w:r w:rsidRPr="0085722A">
        <w:fldChar w:fldCharType="begin"/>
      </w:r>
      <w:r w:rsidRPr="0085722A">
        <w:instrText xml:space="preserve"> SEQ level0 \*arabic </w:instrText>
      </w:r>
      <w:r w:rsidRPr="0085722A">
        <w:fldChar w:fldCharType="separate"/>
      </w:r>
      <w:r w:rsidR="00E97C1C">
        <w:rPr>
          <w:noProof/>
        </w:rPr>
        <w:t>63</w:t>
      </w:r>
      <w:r w:rsidRPr="0085722A">
        <w:fldChar w:fldCharType="end"/>
      </w:r>
      <w:r w:rsidRPr="0085722A">
        <w:t>.  The Court considers that the Government</w:t>
      </w:r>
      <w:r w:rsidR="00C63C92">
        <w:t>'</w:t>
      </w:r>
      <w:r w:rsidRPr="0085722A">
        <w:t>s argument alleging that the applicant had lost her status as a victim raises questions about the French criminal law</w:t>
      </w:r>
      <w:r w:rsidR="00C63C92">
        <w:t>'</w:t>
      </w:r>
      <w:r w:rsidRPr="0085722A">
        <w:t xml:space="preserve">s provisions on slavery, servitude and forced or compulsory labour and </w:t>
      </w:r>
      <w:r w:rsidR="001A5F89" w:rsidRPr="0085722A">
        <w:t xml:space="preserve">the manner in which </w:t>
      </w:r>
      <w:r w:rsidRPr="0085722A">
        <w:t>those provisions are interpreted by the domestic courts.</w:t>
      </w:r>
      <w:r w:rsidRPr="0085722A">
        <w:rPr>
          <w:b/>
          <w:i/>
        </w:rPr>
        <w:t xml:space="preserve"> </w:t>
      </w:r>
      <w:r w:rsidRPr="0085722A">
        <w:t>Those questions are closely linked to the merits of the applicant</w:t>
      </w:r>
      <w:r w:rsidR="00C63C92">
        <w:t>'</w:t>
      </w:r>
      <w:r w:rsidRPr="0085722A">
        <w:t>s complaint. The Court consequently considers that they should be examined under the substantive provision of the Convention relied on by the applicant (see, in particular</w:t>
      </w:r>
      <w:r w:rsidR="003F764E">
        <w:t>,</w:t>
      </w:r>
      <w:r w:rsidR="001A5F89" w:rsidRPr="0085722A">
        <w:t xml:space="preserve"> </w:t>
      </w:r>
      <w:r w:rsidRPr="0085722A">
        <w:rPr>
          <w:i/>
          <w:lang w:eastAsia="en-US"/>
        </w:rPr>
        <w:t>Airey v. Ireland</w:t>
      </w:r>
      <w:r w:rsidRPr="0085722A">
        <w:rPr>
          <w:lang w:eastAsia="en-US"/>
        </w:rPr>
        <w:t xml:space="preserve">, </w:t>
      </w:r>
      <w:r w:rsidR="00783B7C">
        <w:rPr>
          <w:lang w:eastAsia="en-US"/>
        </w:rPr>
        <w:t xml:space="preserve">judgment of </w:t>
      </w:r>
      <w:r w:rsidRPr="0085722A">
        <w:rPr>
          <w:lang w:eastAsia="en-US"/>
        </w:rPr>
        <w:t>9</w:t>
      </w:r>
      <w:r w:rsidR="00563C11">
        <w:rPr>
          <w:lang w:eastAsia="en-US"/>
        </w:rPr>
        <w:t> </w:t>
      </w:r>
      <w:r w:rsidRPr="0085722A">
        <w:rPr>
          <w:lang w:eastAsia="en-US"/>
        </w:rPr>
        <w:t>October 1979, Series A no. 32</w:t>
      </w:r>
      <w:r w:rsidRPr="0085722A">
        <w:t>;</w:t>
      </w:r>
      <w:r w:rsidRPr="0085722A">
        <w:rPr>
          <w:i/>
          <w:iCs/>
        </w:rPr>
        <w:t xml:space="preserve"> </w:t>
      </w:r>
      <w:r w:rsidRPr="0085722A">
        <w:rPr>
          <w:i/>
          <w:lang w:eastAsia="en-US"/>
        </w:rPr>
        <w:t>Gnahoré v. France</w:t>
      </w:r>
      <w:r w:rsidRPr="0085722A">
        <w:rPr>
          <w:lang w:eastAsia="en-US"/>
        </w:rPr>
        <w:t xml:space="preserve">, no. 40031/98, § </w:t>
      </w:r>
      <w:r w:rsidRPr="0085722A">
        <w:t>26</w:t>
      </w:r>
      <w:r w:rsidRPr="0085722A">
        <w:rPr>
          <w:lang w:eastAsia="en-US"/>
        </w:rPr>
        <w:t>, ECHR 2000</w:t>
      </w:r>
      <w:r w:rsidRPr="0085722A">
        <w:rPr>
          <w:lang w:eastAsia="en-US"/>
        </w:rPr>
        <w:noBreakHyphen/>
        <w:t>IX</w:t>
      </w:r>
      <w:r w:rsidR="001A5F89" w:rsidRPr="0085722A">
        <w:t>;</w:t>
      </w:r>
      <w:r w:rsidRPr="0085722A">
        <w:t xml:space="preserve"> and </w:t>
      </w:r>
      <w:r w:rsidRPr="0085722A">
        <w:rPr>
          <w:i/>
          <w:lang w:eastAsia="en-US"/>
        </w:rPr>
        <w:t>Isayeva v. Russia</w:t>
      </w:r>
      <w:r w:rsidRPr="0085722A">
        <w:rPr>
          <w:lang w:eastAsia="en-US"/>
        </w:rPr>
        <w:t xml:space="preserve">, no. 57950/00, § </w:t>
      </w:r>
      <w:r w:rsidRPr="0085722A">
        <w:t>161</w:t>
      </w:r>
      <w:r w:rsidRPr="0085722A">
        <w:rPr>
          <w:lang w:eastAsia="en-US"/>
        </w:rPr>
        <w:t xml:space="preserve">, </w:t>
      </w:r>
      <w:smartTag w:uri="urn:schemas-microsoft-com:office:smarttags" w:element="date">
        <w:smartTagPr>
          <w:attr w:name="Month" w:val="2"/>
          <w:attr w:name="Day" w:val="24"/>
          <w:attr w:name="Year" w:val="2005"/>
        </w:smartTagPr>
        <w:r w:rsidRPr="0085722A">
          <w:rPr>
            <w:lang w:eastAsia="en-US"/>
          </w:rPr>
          <w:t>24 February 2005</w:t>
        </w:r>
      </w:smartTag>
      <w:r w:rsidRPr="0085722A">
        <w:t>).</w:t>
      </w:r>
    </w:p>
    <w:p w:rsidR="007A2F6F" w:rsidRPr="0085722A" w:rsidRDefault="007A2F6F" w:rsidP="00783B7C">
      <w:pPr>
        <w:pStyle w:val="JuHA"/>
      </w:pPr>
      <w:r w:rsidRPr="0085722A">
        <w:t>B.  The merits</w:t>
      </w:r>
    </w:p>
    <w:p w:rsidR="007A2F6F" w:rsidRPr="0085722A" w:rsidRDefault="007A2F6F" w:rsidP="00783B7C">
      <w:pPr>
        <w:pStyle w:val="JuH1"/>
      </w:pPr>
      <w:r w:rsidRPr="0085722A">
        <w:t>1.  </w:t>
      </w:r>
      <w:r w:rsidR="00C42BB2" w:rsidRPr="0085722A">
        <w:t xml:space="preserve">Applicability </w:t>
      </w:r>
      <w:r w:rsidRPr="0085722A">
        <w:t>of Article 4 and the positive obligations</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64</w:t>
      </w:r>
      <w:r w:rsidRPr="0085722A">
        <w:fldChar w:fldCharType="end"/>
      </w:r>
      <w:r w:rsidRPr="0085722A">
        <w:t>.  The Court notes that the Government do not dispute that Article 4 is applicable in the instant case.</w:t>
      </w:r>
    </w:p>
    <w:p w:rsidR="00C63C92"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65</w:t>
      </w:r>
      <w:r w:rsidRPr="0085722A">
        <w:fldChar w:fldCharType="end"/>
      </w:r>
      <w:r w:rsidRPr="0085722A">
        <w:t xml:space="preserve">.  The applicant considered that the exploitation to which she had been subjected while </w:t>
      </w:r>
      <w:r w:rsidR="001A5F89" w:rsidRPr="0085722A">
        <w:t xml:space="preserve">a minor </w:t>
      </w:r>
      <w:r w:rsidRPr="0085722A">
        <w:t>amounted to a failure by the State to comply with its positive obligation under Articles 1 and 4 of the Convention, taken together, to put in place adequate criminal-law provisions to prevent and effectively punish the perpetrators of those acts.</w:t>
      </w:r>
    </w:p>
    <w:p w:rsidR="007A2F6F" w:rsidRPr="0085722A" w:rsidRDefault="007A2F6F" w:rsidP="00BB6E80">
      <w:pPr>
        <w:pStyle w:val="JuPara"/>
        <w:rPr>
          <w:lang w:eastAsia="en-US"/>
        </w:rPr>
      </w:pPr>
      <w:r w:rsidRPr="0085722A">
        <w:fldChar w:fldCharType="begin"/>
      </w:r>
      <w:r w:rsidRPr="0085722A">
        <w:instrText xml:space="preserve"> SEQ level0 \*arabic </w:instrText>
      </w:r>
      <w:r w:rsidRPr="0085722A">
        <w:fldChar w:fldCharType="separate"/>
      </w:r>
      <w:r w:rsidR="00E97C1C">
        <w:rPr>
          <w:noProof/>
        </w:rPr>
        <w:t>66</w:t>
      </w:r>
      <w:r w:rsidRPr="0085722A">
        <w:fldChar w:fldCharType="end"/>
      </w:r>
      <w:r w:rsidRPr="0085722A">
        <w:t>.  </w:t>
      </w:r>
      <w:r w:rsidR="001A5F89" w:rsidRPr="0085722A">
        <w:t>In the absence of rulings on this matter in respect of Article 4, s</w:t>
      </w:r>
      <w:r w:rsidRPr="0085722A">
        <w:t>he referred in detail to the Court</w:t>
      </w:r>
      <w:r w:rsidR="00C63C92">
        <w:t>'</w:t>
      </w:r>
      <w:r w:rsidRPr="0085722A">
        <w:t>s case-law on States</w:t>
      </w:r>
      <w:r w:rsidR="00C63C92">
        <w:t>'</w:t>
      </w:r>
      <w:r w:rsidRPr="0085722A">
        <w:t xml:space="preserve"> positive obligations with regard to Articles 3 and </w:t>
      </w:r>
      <w:r w:rsidR="001A5F89" w:rsidRPr="0085722A">
        <w:t>8</w:t>
      </w:r>
      <w:r w:rsidRPr="0085722A">
        <w:t xml:space="preserve"> (see</w:t>
      </w:r>
      <w:r w:rsidR="001A5F89" w:rsidRPr="0085722A">
        <w:t xml:space="preserve"> </w:t>
      </w:r>
      <w:r w:rsidRPr="0085722A">
        <w:rPr>
          <w:i/>
          <w:lang w:eastAsia="en-US"/>
        </w:rPr>
        <w:t>X and Y v. the Netherlands</w:t>
      </w:r>
      <w:r w:rsidRPr="0085722A">
        <w:rPr>
          <w:lang w:eastAsia="en-US"/>
        </w:rPr>
        <w:t xml:space="preserve">, </w:t>
      </w:r>
      <w:r w:rsidR="00783B7C">
        <w:rPr>
          <w:lang w:eastAsia="en-US"/>
        </w:rPr>
        <w:t>judgment of 26 </w:t>
      </w:r>
      <w:r w:rsidRPr="0085722A">
        <w:rPr>
          <w:lang w:eastAsia="en-US"/>
        </w:rPr>
        <w:t>March 1985, Series A no. 91</w:t>
      </w:r>
      <w:r w:rsidRPr="0085722A">
        <w:t xml:space="preserve">; </w:t>
      </w:r>
      <w:r w:rsidRPr="0085722A">
        <w:rPr>
          <w:i/>
          <w:lang w:eastAsia="en-US"/>
        </w:rPr>
        <w:t>A. v. the United Kingdom</w:t>
      </w:r>
      <w:r w:rsidRPr="0085722A">
        <w:rPr>
          <w:lang w:eastAsia="en-US"/>
        </w:rPr>
        <w:t xml:space="preserve">, </w:t>
      </w:r>
      <w:r w:rsidR="00783B7C">
        <w:rPr>
          <w:lang w:eastAsia="en-US"/>
        </w:rPr>
        <w:t>judgment of 23 </w:t>
      </w:r>
      <w:r w:rsidRPr="0085722A">
        <w:rPr>
          <w:lang w:eastAsia="en-US"/>
        </w:rPr>
        <w:t xml:space="preserve">September 1998, </w:t>
      </w:r>
      <w:r w:rsidRPr="0085722A">
        <w:rPr>
          <w:i/>
          <w:lang w:eastAsia="en-US"/>
        </w:rPr>
        <w:t xml:space="preserve">Reports </w:t>
      </w:r>
      <w:r w:rsidRPr="0085722A">
        <w:rPr>
          <w:lang w:eastAsia="en-US"/>
        </w:rPr>
        <w:t>1998</w:t>
      </w:r>
      <w:r w:rsidRPr="0085722A">
        <w:rPr>
          <w:lang w:eastAsia="en-US"/>
        </w:rPr>
        <w:noBreakHyphen/>
        <w:t>VI</w:t>
      </w:r>
      <w:r w:rsidR="001A5F89" w:rsidRPr="0085722A">
        <w:rPr>
          <w:lang w:eastAsia="en-US"/>
        </w:rPr>
        <w:t>;</w:t>
      </w:r>
      <w:r w:rsidRPr="0085722A">
        <w:rPr>
          <w:lang w:eastAsia="en-US"/>
        </w:rPr>
        <w:t xml:space="preserve"> </w:t>
      </w:r>
      <w:r w:rsidRPr="0085722A">
        <w:t xml:space="preserve">and </w:t>
      </w:r>
      <w:r w:rsidRPr="0085722A">
        <w:rPr>
          <w:i/>
          <w:lang w:eastAsia="en-US"/>
        </w:rPr>
        <w:t>M.C. v. Bulgaria</w:t>
      </w:r>
      <w:r w:rsidRPr="0085722A">
        <w:rPr>
          <w:lang w:eastAsia="en-US"/>
        </w:rPr>
        <w:t>,</w:t>
      </w:r>
      <w:r w:rsidRPr="0085722A">
        <w:rPr>
          <w:i/>
          <w:lang w:eastAsia="en-US"/>
        </w:rPr>
        <w:t xml:space="preserve"> </w:t>
      </w:r>
      <w:r w:rsidRPr="0085722A">
        <w:rPr>
          <w:lang w:eastAsia="en-US"/>
        </w:rPr>
        <w:t>no. 39272/98, ECHR 2003</w:t>
      </w:r>
      <w:r w:rsidRPr="0085722A">
        <w:rPr>
          <w:lang w:eastAsia="en-US"/>
        </w:rPr>
        <w:noBreakHyphen/>
        <w:t>XII</w:t>
      </w:r>
      <w:r w:rsidRPr="0085722A">
        <w:t>).</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67</w:t>
      </w:r>
      <w:r w:rsidRPr="0085722A">
        <w:fldChar w:fldCharType="end"/>
      </w:r>
      <w:r w:rsidRPr="0085722A">
        <w:t>.  She added that, in the various cases in question, the respondent State</w:t>
      </w:r>
      <w:r w:rsidR="001A5F89" w:rsidRPr="0085722A">
        <w:t>s</w:t>
      </w:r>
      <w:r w:rsidRPr="0085722A">
        <w:t xml:space="preserve"> had been held to be responsible on account of </w:t>
      </w:r>
      <w:r w:rsidR="001A5F89" w:rsidRPr="0085722A">
        <w:t xml:space="preserve">their </w:t>
      </w:r>
      <w:r w:rsidRPr="0085722A">
        <w:t>failure, in application of Article 1 of the Convention, to set up a system of criminal prosecution and punishment that would ensure tangible and effective protection of the rights guaranteed by Articles 3 and/or 8 against the actions of private individuals.</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68</w:t>
      </w:r>
      <w:r w:rsidRPr="0085722A">
        <w:fldChar w:fldCharType="end"/>
      </w:r>
      <w:r w:rsidRPr="0085722A">
        <w:t>.  She emphasised that this obligation covered situation</w:t>
      </w:r>
      <w:r w:rsidR="001A5F89" w:rsidRPr="0085722A">
        <w:t>s</w:t>
      </w:r>
      <w:r w:rsidR="00783B7C">
        <w:t xml:space="preserve"> where the S</w:t>
      </w:r>
      <w:r w:rsidRPr="0085722A">
        <w:t>tate authorities were criticised for not having taken adequate measures to prevent the existence of the impugned situation or to limit its effects. In addition, the scope of the State</w:t>
      </w:r>
      <w:r w:rsidR="00C63C92">
        <w:t>'</w:t>
      </w:r>
      <w:r w:rsidRPr="0085722A">
        <w:t xml:space="preserve">s positive obligation to protect </w:t>
      </w:r>
      <w:r w:rsidR="00320876" w:rsidRPr="0085722A">
        <w:t xml:space="preserve">could </w:t>
      </w:r>
      <w:r w:rsidRPr="0085722A">
        <w:t xml:space="preserve">vary on account of shortcomings in its legal system, depending on factors such as the aspect of law in issue, the seriousness of the offence committed </w:t>
      </w:r>
      <w:r w:rsidR="00C42BB2" w:rsidRPr="0085722A">
        <w:t xml:space="preserve">by </w:t>
      </w:r>
      <w:r w:rsidRPr="0085722A">
        <w:t xml:space="preserve">the </w:t>
      </w:r>
      <w:r w:rsidR="00C42BB2" w:rsidRPr="0085722A">
        <w:t xml:space="preserve">private </w:t>
      </w:r>
      <w:r w:rsidRPr="0085722A">
        <w:t xml:space="preserve">individual </w:t>
      </w:r>
      <w:r w:rsidR="00C42BB2" w:rsidRPr="0085722A">
        <w:t xml:space="preserve">concerned </w:t>
      </w:r>
      <w:r w:rsidRPr="0085722A">
        <w:t>or particular vulnerability</w:t>
      </w:r>
      <w:r w:rsidR="00C42BB2" w:rsidRPr="0085722A">
        <w:t xml:space="preserve"> on the part of the victim</w:t>
      </w:r>
      <w:r w:rsidRPr="0085722A">
        <w:t xml:space="preserve">. This was precisely the subject of her application, in the specific context of protection of </w:t>
      </w:r>
      <w:r w:rsidR="00320876" w:rsidRPr="0085722A">
        <w:t>a minor</w:t>
      </w:r>
      <w:r w:rsidR="00C63C92">
        <w:t>'</w:t>
      </w:r>
      <w:r w:rsidR="00320876" w:rsidRPr="0085722A">
        <w:t xml:space="preserve">s </w:t>
      </w:r>
      <w:r w:rsidRPr="0085722A">
        <w:t>rights under Article 4.</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69</w:t>
      </w:r>
      <w:r w:rsidRPr="0085722A">
        <w:fldChar w:fldCharType="end"/>
      </w:r>
      <w:r w:rsidRPr="0085722A">
        <w:t>.  The applicant added that</w:t>
      </w:r>
      <w:r w:rsidR="00320876" w:rsidRPr="0085722A">
        <w:t>, in the absence of any appropriate criminal-law machinery to prevent and punish the direct perpetrators of alleged ill-treatment,</w:t>
      </w:r>
      <w:r w:rsidRPr="0085722A">
        <w:t xml:space="preserve"> it could not be maintained that civil proceedings </w:t>
      </w:r>
      <w:r w:rsidR="00320876" w:rsidRPr="0085722A">
        <w:t xml:space="preserve">to afford </w:t>
      </w:r>
      <w:r w:rsidRPr="0085722A">
        <w:t>reparation of the damage suffered w</w:t>
      </w:r>
      <w:r w:rsidR="00563C11">
        <w:t>ere</w:t>
      </w:r>
      <w:r w:rsidRPr="0085722A">
        <w:t xml:space="preserve"> sufficient to provide her with </w:t>
      </w:r>
      <w:r w:rsidR="00320876" w:rsidRPr="0085722A">
        <w:t xml:space="preserve">adequate </w:t>
      </w:r>
      <w:r w:rsidRPr="0085722A">
        <w:t>protection against possible assaults on her integrity.</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70</w:t>
      </w:r>
      <w:r w:rsidRPr="0085722A">
        <w:fldChar w:fldCharType="end"/>
      </w:r>
      <w:r w:rsidRPr="0085722A">
        <w:t xml:space="preserve">.  She considered that the right not to be held in servitude </w:t>
      </w:r>
      <w:r w:rsidR="00320876" w:rsidRPr="0085722A">
        <w:t xml:space="preserve">laid down </w:t>
      </w:r>
      <w:r w:rsidRPr="0085722A">
        <w:t>in Article 4 § 1 of the Convention was an absolute right, permitting of no exception in any circumstances. She noted that the practices prohibited under Article 4 were also the subject of specific international conventions which applied to both children and adults.</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71</w:t>
      </w:r>
      <w:r w:rsidRPr="0085722A">
        <w:fldChar w:fldCharType="end"/>
      </w:r>
      <w:r w:rsidRPr="0085722A">
        <w:t>.  Accordingly, the applicant considered that the States had a positive obligation, inherent in Article 4 of the Convention, to adopt tangible criminal-law provisions that would deter such offences, backed up by law-enforcement machinery for the prevention, detection and punishment of breaches of such provisions.</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72</w:t>
      </w:r>
      <w:r w:rsidRPr="0085722A">
        <w:fldChar w:fldCharType="end"/>
      </w:r>
      <w:r w:rsidRPr="0085722A">
        <w:rPr>
          <w:i/>
        </w:rPr>
        <w:t>.  </w:t>
      </w:r>
      <w:r w:rsidRPr="0085722A">
        <w:t>She further observed that, as the public prosecutor</w:t>
      </w:r>
      <w:r w:rsidR="00C63C92">
        <w:t>'</w:t>
      </w:r>
      <w:r w:rsidRPr="0085722A">
        <w:t xml:space="preserve">s office had not considered it necessary to appeal on points of law on the grounds of public interest, the acquittal of Mr and Mrs B. of the offences set out in Articles 225-13 and 225-14 of the Criminal Code had become final. Consequently, the court of appeal to which the case had been remitted after the initial judgment </w:t>
      </w:r>
      <w:r w:rsidR="00C556BA" w:rsidRPr="0085722A">
        <w:t xml:space="preserve">was quashed </w:t>
      </w:r>
      <w:r w:rsidRPr="0085722A">
        <w:t xml:space="preserve">could not return a guilty verdict nor, </w:t>
      </w:r>
      <w:r w:rsidRPr="0085722A">
        <w:rPr>
          <w:i/>
        </w:rPr>
        <w:t>a fortiori</w:t>
      </w:r>
      <w:r w:rsidRPr="0085722A">
        <w:t xml:space="preserve">, impose a sentence, but could only decide </w:t>
      </w:r>
      <w:r w:rsidR="00320876" w:rsidRPr="0085722A">
        <w:t xml:space="preserve">whether to </w:t>
      </w:r>
      <w:r w:rsidRPr="0085722A">
        <w:t>award</w:t>
      </w:r>
      <w:r w:rsidR="00320876" w:rsidRPr="0085722A">
        <w:t xml:space="preserve"> </w:t>
      </w:r>
      <w:r w:rsidRPr="0085722A">
        <w:t xml:space="preserve">civil damages. She considered that </w:t>
      </w:r>
      <w:r w:rsidR="00320876" w:rsidRPr="0085722A">
        <w:t>a</w:t>
      </w:r>
      <w:r w:rsidRPr="0085722A">
        <w:t xml:space="preserve"> mere finding that the constituent elements of the offence set out in Article 225-13 of the Criminal Code had been </w:t>
      </w:r>
      <w:r w:rsidR="00563C11">
        <w:t>established</w:t>
      </w:r>
      <w:r w:rsidR="00563C11" w:rsidRPr="0085722A">
        <w:t xml:space="preserve"> </w:t>
      </w:r>
      <w:r w:rsidR="00320876" w:rsidRPr="0085722A">
        <w:t xml:space="preserve">and the </w:t>
      </w:r>
      <w:r w:rsidRPr="0085722A">
        <w:t xml:space="preserve">imposition of a fine and damages could not be </w:t>
      </w:r>
      <w:r w:rsidR="00C556BA" w:rsidRPr="0085722A">
        <w:t xml:space="preserve">regarded </w:t>
      </w:r>
      <w:r w:rsidRPr="0085722A">
        <w:t>as an acknowledgment, whether exp</w:t>
      </w:r>
      <w:r w:rsidR="00C556BA" w:rsidRPr="0085722A">
        <w:t>ress</w:t>
      </w:r>
      <w:r w:rsidRPr="0085722A">
        <w:t xml:space="preserve"> or in substance, of a breach of Article 4 of the Convention</w:t>
      </w:r>
      <w:r w:rsidRPr="0085722A">
        <w:rPr>
          <w:i/>
        </w:rPr>
        <w:t>.</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73</w:t>
      </w:r>
      <w:r w:rsidRPr="0085722A">
        <w:fldChar w:fldCharType="end"/>
      </w:r>
      <w:r w:rsidRPr="0085722A">
        <w:t xml:space="preserve">.  With regard to possible positive obligations, the Government </w:t>
      </w:r>
      <w:r w:rsidR="00BF49BF" w:rsidRPr="0085722A">
        <w:t xml:space="preserve">conceded </w:t>
      </w:r>
      <w:r w:rsidRPr="0085722A">
        <w:t xml:space="preserve">that, if the line taken by the European Commission of Human Rights in </w:t>
      </w:r>
      <w:r w:rsidR="001B5A87" w:rsidRPr="001B5A87">
        <w:rPr>
          <w:i/>
        </w:rPr>
        <w:t>X</w:t>
      </w:r>
      <w:r w:rsidR="001B5A87">
        <w:rPr>
          <w:i/>
        </w:rPr>
        <w:t xml:space="preserve"> and Y</w:t>
      </w:r>
      <w:r w:rsidRPr="0085722A">
        <w:rPr>
          <w:i/>
        </w:rPr>
        <w:t xml:space="preserve"> v. the Netherlands</w:t>
      </w:r>
      <w:r w:rsidRPr="0085722A">
        <w:t xml:space="preserve"> </w:t>
      </w:r>
      <w:r w:rsidR="004A1A44">
        <w:t xml:space="preserve">(cited above) </w:t>
      </w:r>
      <w:r w:rsidRPr="0085722A">
        <w:t>were to be applied to the present case, then it appear</w:t>
      </w:r>
      <w:r w:rsidR="00320876" w:rsidRPr="0085722A">
        <w:t>ed</w:t>
      </w:r>
      <w:r w:rsidRPr="0085722A">
        <w:t xml:space="preserve"> that they did </w:t>
      </w:r>
      <w:r w:rsidR="00320876" w:rsidRPr="0085722A">
        <w:t xml:space="preserve">indeed </w:t>
      </w:r>
      <w:r w:rsidRPr="0085722A">
        <w:t xml:space="preserve">exist. They pointed out, however, that States had a certain margin of appreciation when it </w:t>
      </w:r>
      <w:r w:rsidR="00320876" w:rsidRPr="0085722A">
        <w:t xml:space="preserve">came to </w:t>
      </w:r>
      <w:r w:rsidRPr="0085722A">
        <w:t>intervening in the sphere of relations between individuals.</w:t>
      </w:r>
    </w:p>
    <w:p w:rsidR="00C63C92"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74</w:t>
      </w:r>
      <w:r w:rsidRPr="0085722A">
        <w:fldChar w:fldCharType="end"/>
      </w:r>
      <w:r w:rsidRPr="0085722A">
        <w:t>.  </w:t>
      </w:r>
      <w:r w:rsidRPr="00BB6E80">
        <w:t>In this respect, they referred to the Court</w:t>
      </w:r>
      <w:r w:rsidR="00C63C92">
        <w:t>'</w:t>
      </w:r>
      <w:r w:rsidRPr="00BB6E80">
        <w:t xml:space="preserve">s case-law, and especially </w:t>
      </w:r>
      <w:r w:rsidRPr="00BB6E80">
        <w:rPr>
          <w:i/>
        </w:rPr>
        <w:t xml:space="preserve">Calvelli </w:t>
      </w:r>
      <w:r w:rsidR="00320876" w:rsidRPr="00BB6E80">
        <w:rPr>
          <w:i/>
        </w:rPr>
        <w:t xml:space="preserve">and </w:t>
      </w:r>
      <w:r w:rsidRPr="00BB6E80">
        <w:rPr>
          <w:i/>
        </w:rPr>
        <w:t>Ciglio v. Italy</w:t>
      </w:r>
      <w:r w:rsidRPr="00BB6E80">
        <w:t xml:space="preserve"> ([GC], no</w:t>
      </w:r>
      <w:r w:rsidR="00320876" w:rsidRPr="00BB6E80">
        <w:t>.</w:t>
      </w:r>
      <w:r w:rsidRPr="00BB6E80">
        <w:t xml:space="preserve"> 329</w:t>
      </w:r>
      <w:r w:rsidR="001B5A87">
        <w:t>67/96, ECHR 2002-I);</w:t>
      </w:r>
      <w:r w:rsidRPr="00BB6E80">
        <w:t xml:space="preserve"> </w:t>
      </w:r>
      <w:r w:rsidRPr="00BB6E80">
        <w:rPr>
          <w:i/>
        </w:rPr>
        <w:t>A</w:t>
      </w:r>
      <w:r w:rsidR="001B5A87">
        <w:rPr>
          <w:i/>
        </w:rPr>
        <w:t>.</w:t>
      </w:r>
      <w:r w:rsidRPr="00BB6E80">
        <w:rPr>
          <w:i/>
        </w:rPr>
        <w:t xml:space="preserve"> v. the United Kingdom</w:t>
      </w:r>
      <w:r w:rsidR="001B5A87">
        <w:t>, cited above;</w:t>
      </w:r>
      <w:r w:rsidR="00BF49BF" w:rsidRPr="00BB6E80">
        <w:t xml:space="preserve"> and</w:t>
      </w:r>
      <w:r w:rsidRPr="00BB6E80">
        <w:t xml:space="preserve"> </w:t>
      </w:r>
      <w:r w:rsidRPr="00BB6E80">
        <w:rPr>
          <w:i/>
        </w:rPr>
        <w:t xml:space="preserve">Z and Others v. the United Kingdom </w:t>
      </w:r>
      <w:r w:rsidR="001B5A87">
        <w:t>([GC]</w:t>
      </w:r>
      <w:r w:rsidR="00563C11">
        <w:t>,</w:t>
      </w:r>
      <w:r w:rsidR="001B5A87">
        <w:t xml:space="preserve"> no. </w:t>
      </w:r>
      <w:r w:rsidRPr="00BB6E80">
        <w:t>29392/95, § 109, ECHR 2001-V), as well</w:t>
      </w:r>
      <w:r w:rsidR="001B5A87">
        <w:t xml:space="preserve"> as the decision in </w:t>
      </w:r>
      <w:r w:rsidRPr="00BB6E80">
        <w:rPr>
          <w:i/>
        </w:rPr>
        <w:t xml:space="preserve">G.G. v. Italy </w:t>
      </w:r>
      <w:r w:rsidRPr="00BB6E80">
        <w:t>(</w:t>
      </w:r>
      <w:r w:rsidR="003F764E">
        <w:t xml:space="preserve">(dec.), </w:t>
      </w:r>
      <w:r w:rsidR="001B5A87">
        <w:t>no. 34574/97, 10 October 2002</w:t>
      </w:r>
      <w:r w:rsidRPr="00BB6E80">
        <w:t>) in which the Court had noted in connection with Article 3 that</w:t>
      </w:r>
      <w:r w:rsidR="001B5A87">
        <w:t xml:space="preserve"> </w:t>
      </w:r>
      <w:r w:rsidRPr="00BB6E80">
        <w:t>“criminal proceedings did not represent the only effective remedy in cases of this kind, but civil proceedings, making it possible to obtain redress for the damage suffered must in principle be open to children who have been subjected to ill-treatment”</w:t>
      </w:r>
      <w:r w:rsidR="003F764E">
        <w:t>.</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75</w:t>
      </w:r>
      <w:r w:rsidRPr="0085722A">
        <w:fldChar w:fldCharType="end"/>
      </w:r>
      <w:r w:rsidRPr="0085722A">
        <w:t>.  </w:t>
      </w:r>
      <w:r w:rsidR="00FD2792" w:rsidRPr="0085722A">
        <w:t>On that basis, t</w:t>
      </w:r>
      <w:r w:rsidRPr="0085722A">
        <w:t xml:space="preserve">he Government argued that, in the instant case, </w:t>
      </w:r>
      <w:r w:rsidR="00FD2792" w:rsidRPr="0085722A">
        <w:t xml:space="preserve">the </w:t>
      </w:r>
      <w:r w:rsidRPr="0085722A">
        <w:t>proceedings before the criminal courts which led to the payment of damages w</w:t>
      </w:r>
      <w:r w:rsidR="00FD2792" w:rsidRPr="0085722A">
        <w:t xml:space="preserve">ere </w:t>
      </w:r>
      <w:r w:rsidRPr="0085722A">
        <w:t>sufficient under Article 4 in order to comply with any positive obligation arising from the Convention.</w:t>
      </w:r>
    </w:p>
    <w:p w:rsidR="007A2F6F" w:rsidRPr="0085722A" w:rsidRDefault="007A2F6F" w:rsidP="001B5A87">
      <w:pPr>
        <w:pStyle w:val="JuPara"/>
      </w:pPr>
      <w:r w:rsidRPr="0085722A">
        <w:fldChar w:fldCharType="begin"/>
      </w:r>
      <w:r w:rsidRPr="0085722A">
        <w:instrText xml:space="preserve"> SEQ level0 \*arabic </w:instrText>
      </w:r>
      <w:r w:rsidRPr="0085722A">
        <w:fldChar w:fldCharType="separate"/>
      </w:r>
      <w:r w:rsidR="00E97C1C">
        <w:rPr>
          <w:noProof/>
        </w:rPr>
        <w:t>76</w:t>
      </w:r>
      <w:r w:rsidRPr="0085722A">
        <w:fldChar w:fldCharType="end"/>
      </w:r>
      <w:r w:rsidRPr="0085722A">
        <w:t xml:space="preserve">.  In the alternative, the Government considered that </w:t>
      </w:r>
      <w:r w:rsidR="00BF49BF" w:rsidRPr="0085722A">
        <w:t xml:space="preserve">in any event </w:t>
      </w:r>
      <w:r w:rsidRPr="0085722A">
        <w:t xml:space="preserve">French criminal law </w:t>
      </w:r>
      <w:r w:rsidR="00BF49BF" w:rsidRPr="0085722A">
        <w:t>fulfilled</w:t>
      </w:r>
      <w:r w:rsidRPr="0085722A">
        <w:t xml:space="preserve"> any positive obligations arising </w:t>
      </w:r>
      <w:r w:rsidR="00BF49BF" w:rsidRPr="0085722A">
        <w:t xml:space="preserve">under </w:t>
      </w:r>
      <w:r w:rsidR="001B5A87">
        <w:t>Article</w:t>
      </w:r>
      <w:r w:rsidR="004D1C7F">
        <w:t xml:space="preserve"> </w:t>
      </w:r>
      <w:r w:rsidRPr="0085722A">
        <w:t>4</w:t>
      </w:r>
      <w:r w:rsidR="004D1C7F" w:rsidRPr="004D1C7F">
        <w:t xml:space="preserve"> </w:t>
      </w:r>
      <w:r w:rsidR="004D1C7F" w:rsidRPr="0085722A">
        <w:t>of the Convention</w:t>
      </w:r>
      <w:r w:rsidRPr="0085722A">
        <w:t xml:space="preserve">. They submitted that the wording of Articles 225-13 and 225-14 of the Criminal Code made it possible to fight against </w:t>
      </w:r>
      <w:r w:rsidR="00FD2792" w:rsidRPr="0085722A">
        <w:t>all forms of e</w:t>
      </w:r>
      <w:r w:rsidRPr="0085722A">
        <w:t>xploitation through labour</w:t>
      </w:r>
      <w:r w:rsidR="00FD2792" w:rsidRPr="0085722A">
        <w:t xml:space="preserve"> for the purposes of </w:t>
      </w:r>
      <w:r w:rsidRPr="0085722A">
        <w:t>Article 4</w:t>
      </w:r>
      <w:r w:rsidR="00FD2792" w:rsidRPr="0085722A">
        <w:t xml:space="preserve">. They stressed that these </w:t>
      </w:r>
      <w:r w:rsidRPr="0085722A">
        <w:t>criminal-law provision</w:t>
      </w:r>
      <w:r w:rsidR="00FD2792" w:rsidRPr="0085722A">
        <w:t>s</w:t>
      </w:r>
      <w:r w:rsidRPr="0085722A">
        <w:t xml:space="preserve"> had, at the time of the events complained of by the applicant, </w:t>
      </w:r>
      <w:r w:rsidR="00FD2792" w:rsidRPr="0085722A">
        <w:t xml:space="preserve">already resulted in </w:t>
      </w:r>
      <w:r w:rsidRPr="0085722A">
        <w:t>several criminal-court rulings</w:t>
      </w:r>
      <w:r w:rsidR="00FD2792" w:rsidRPr="0085722A">
        <w:t xml:space="preserve">, thus </w:t>
      </w:r>
      <w:r w:rsidRPr="0085722A">
        <w:t>establishing a case-law</w:t>
      </w:r>
      <w:r w:rsidR="00FD2792" w:rsidRPr="0085722A">
        <w:t>,</w:t>
      </w:r>
      <w:r w:rsidRPr="0085722A">
        <w:t xml:space="preserve"> and that, since then, </w:t>
      </w:r>
      <w:r w:rsidR="00FD2792" w:rsidRPr="0085722A">
        <w:t xml:space="preserve">they </w:t>
      </w:r>
      <w:r w:rsidRPr="0085722A">
        <w:t>had given rise to various other decisions to the same effect.</w:t>
      </w:r>
    </w:p>
    <w:p w:rsidR="007A2F6F" w:rsidRPr="0085722A"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77</w:t>
      </w:r>
      <w:r w:rsidRPr="0085722A">
        <w:fldChar w:fldCharType="end"/>
      </w:r>
      <w:r w:rsidRPr="0085722A">
        <w:t>.  The Court points out that it has already been established that, with regard to certain Convention provisions, the fact that a State refrains from infringing the guaranteed rights does not suffice to conclude that it has complied with its obligations under Article 1 of the Convention.</w:t>
      </w:r>
    </w:p>
    <w:p w:rsidR="00C63C92" w:rsidRDefault="007A2F6F" w:rsidP="00BB6E80">
      <w:pPr>
        <w:pStyle w:val="JuPara"/>
      </w:pPr>
      <w:r w:rsidRPr="0085722A">
        <w:fldChar w:fldCharType="begin"/>
      </w:r>
      <w:r w:rsidRPr="0085722A">
        <w:instrText xml:space="preserve"> SEQ level0 \*arabic </w:instrText>
      </w:r>
      <w:r w:rsidRPr="0085722A">
        <w:fldChar w:fldCharType="separate"/>
      </w:r>
      <w:r w:rsidR="00E97C1C">
        <w:rPr>
          <w:noProof/>
        </w:rPr>
        <w:t>78</w:t>
      </w:r>
      <w:r w:rsidRPr="0085722A">
        <w:fldChar w:fldCharType="end"/>
      </w:r>
      <w:r w:rsidRPr="0085722A">
        <w:t xml:space="preserve">.  Thus, with regard to Article 8 of the Convention, it held </w:t>
      </w:r>
      <w:r w:rsidR="005C146E" w:rsidRPr="0085722A">
        <w:t xml:space="preserve">as long ago as </w:t>
      </w:r>
      <w:r w:rsidRPr="0085722A">
        <w:t>1979:</w:t>
      </w:r>
    </w:p>
    <w:p w:rsidR="007A2F6F" w:rsidRPr="00BB6E80" w:rsidRDefault="007A2F6F" w:rsidP="00BB6E80">
      <w:pPr>
        <w:pStyle w:val="JuQuot"/>
      </w:pPr>
      <w:r w:rsidRPr="00BB6E80">
        <w:t>“</w:t>
      </w:r>
      <w:r w:rsidR="001B5A87" w:rsidRPr="0085722A">
        <w:t>...</w:t>
      </w:r>
      <w:r w:rsidR="001B5A87">
        <w:t xml:space="preserve"> </w:t>
      </w:r>
      <w:r w:rsidRPr="00BB6E80">
        <w:t xml:space="preserve">Nevertheless it does not merely compel the State to abstain from such interference: in addition to this primarily negative undertaking, there may be positive obligations inherent in an effective </w:t>
      </w:r>
      <w:r w:rsidR="00C63C92">
        <w:t>'</w:t>
      </w:r>
      <w:r w:rsidRPr="00BB6E80">
        <w:t>respect</w:t>
      </w:r>
      <w:r w:rsidR="00C63C92">
        <w:t>'</w:t>
      </w:r>
      <w:r w:rsidRPr="00BB6E80">
        <w:t xml:space="preserve"> for family life.</w:t>
      </w:r>
    </w:p>
    <w:p w:rsidR="007A2F6F" w:rsidRPr="00BB6E80" w:rsidRDefault="007A2F6F" w:rsidP="00BB6E80">
      <w:pPr>
        <w:pStyle w:val="JuQuot"/>
      </w:pPr>
      <w:r w:rsidRPr="00BB6E80">
        <w:t xml:space="preserve">This means, amongst other things, that when the State determines in its domestic legal system the </w:t>
      </w:r>
      <w:r w:rsidR="005C146E" w:rsidRPr="00BB6E80">
        <w:t xml:space="preserve">regime </w:t>
      </w:r>
      <w:r w:rsidRPr="00BB6E80">
        <w:t>applicable to certain family ties such as those between an unmarried mother and her child, it must act in a manner calculated to allow those concerned to lead a normal family life. As envisaged by Article 8, respect for family life implies in particular, in the Court</w:t>
      </w:r>
      <w:r w:rsidR="00C63C92">
        <w:t>'</w:t>
      </w:r>
      <w:r w:rsidRPr="00BB6E80">
        <w:t xml:space="preserve">s view, the existence in domestic law of legal safeguards that render possible as from the moment of birth the </w:t>
      </w:r>
      <w:r w:rsidR="005C146E" w:rsidRPr="00BB6E80">
        <w:t>child</w:t>
      </w:r>
      <w:r w:rsidR="00C63C92">
        <w:t>'</w:t>
      </w:r>
      <w:r w:rsidR="005C146E" w:rsidRPr="00BB6E80">
        <w:t xml:space="preserve">s </w:t>
      </w:r>
      <w:r w:rsidRPr="00BB6E80">
        <w:t>integration in his family.</w:t>
      </w:r>
      <w:r w:rsidR="00C63C92">
        <w:t xml:space="preserve"> </w:t>
      </w:r>
      <w:r w:rsidRPr="00BB6E80">
        <w:t>In this connection, the State has a choice of various means, but a law that fails to satisfy this requirement violates paragraph 1 of Article 8 without there being any call to examine it under paragraph 2</w:t>
      </w:r>
      <w:r w:rsidR="00FD2792" w:rsidRPr="00BB6E80">
        <w:t>.</w:t>
      </w:r>
      <w:r w:rsidR="004D1C7F">
        <w:t xml:space="preserve"> ...</w:t>
      </w:r>
      <w:r w:rsidRPr="00BB6E80">
        <w:t>” (</w:t>
      </w:r>
      <w:r w:rsidRPr="001B5A87">
        <w:rPr>
          <w:i/>
        </w:rPr>
        <w:t>Marckx v. Belgium</w:t>
      </w:r>
      <w:r w:rsidRPr="00BB6E80">
        <w:t>, judgment of 13</w:t>
      </w:r>
      <w:r w:rsidR="004D1C7F">
        <w:t> </w:t>
      </w:r>
      <w:r w:rsidRPr="00BB6E80">
        <w:t xml:space="preserve">June 1979, Series A no. 31, </w:t>
      </w:r>
      <w:r w:rsidR="001B5A87">
        <w:t>pp. 14-15, § 31)</w:t>
      </w:r>
    </w:p>
    <w:p w:rsidR="007A2F6F" w:rsidRPr="0085722A" w:rsidRDefault="007A2F6F" w:rsidP="00ED64B2">
      <w:pPr>
        <w:pStyle w:val="JuPara"/>
        <w:spacing w:line="360" w:lineRule="auto"/>
      </w:pPr>
      <w:r w:rsidRPr="0085722A">
        <w:fldChar w:fldCharType="begin"/>
      </w:r>
      <w:r w:rsidRPr="0085722A">
        <w:instrText xml:space="preserve"> SEQ level0 \*arabic </w:instrText>
      </w:r>
      <w:r w:rsidRPr="0085722A">
        <w:fldChar w:fldCharType="separate"/>
      </w:r>
      <w:r w:rsidR="00E97C1C">
        <w:rPr>
          <w:noProof/>
        </w:rPr>
        <w:t>79</w:t>
      </w:r>
      <w:r w:rsidRPr="0085722A">
        <w:fldChar w:fldCharType="end"/>
      </w:r>
      <w:r w:rsidRPr="0085722A">
        <w:t>.  It subsequently clarified this concept:</w:t>
      </w:r>
    </w:p>
    <w:p w:rsidR="007A2F6F" w:rsidRPr="00BB6E80" w:rsidRDefault="007A2F6F" w:rsidP="00BB6E80">
      <w:pPr>
        <w:pStyle w:val="JuQuot"/>
      </w:pPr>
      <w:r w:rsidRPr="00BB6E80">
        <w:t>“Positive obligations on the State are inherent in the right to effective respect for private life under Article 8; these obligations may involve the adoption of measures even in the sphere of the relations of individuals between themselves. While the choice of the means to secure compliance with Article 8 in the sphere of protection against acts of individuals i</w:t>
      </w:r>
      <w:r w:rsidR="00FD2792" w:rsidRPr="00BB6E80">
        <w:t>s in principle within the State</w:t>
      </w:r>
      <w:r w:rsidR="00C63C92">
        <w:t>'</w:t>
      </w:r>
      <w:r w:rsidRPr="00BB6E80">
        <w:t>s margin of appreciation, effective deterrence against grave acts such as rape, where fundamental values and essential aspects of private life are at stake, requires efficient criminal-law provisions. Children and other vulnerable individuals, in particular, are entitled to effective protection</w:t>
      </w:r>
      <w:r w:rsidR="001B5A87">
        <w:t>.</w:t>
      </w:r>
      <w:r w:rsidRPr="00BB6E80">
        <w:t>” (</w:t>
      </w:r>
      <w:r w:rsidRPr="001B5A87">
        <w:rPr>
          <w:i/>
        </w:rPr>
        <w:t>X and Y v. the Netherlands</w:t>
      </w:r>
      <w:r w:rsidRPr="00BB6E80">
        <w:t xml:space="preserve">, </w:t>
      </w:r>
      <w:r w:rsidR="001B5A87">
        <w:t>cited above</w:t>
      </w:r>
      <w:r w:rsidRPr="00BB6E80">
        <w:t>, p</w:t>
      </w:r>
      <w:r w:rsidR="001B5A87">
        <w:t xml:space="preserve">p. 11-13, §§ 23, </w:t>
      </w:r>
      <w:r w:rsidRPr="00BB6E80">
        <w:t xml:space="preserve">24 and 27; </w:t>
      </w:r>
      <w:r w:rsidRPr="001B5A87">
        <w:rPr>
          <w:i/>
        </w:rPr>
        <w:t xml:space="preserve">August </w:t>
      </w:r>
      <w:r w:rsidR="005C146E" w:rsidRPr="001B5A87">
        <w:rPr>
          <w:i/>
        </w:rPr>
        <w:t>v</w:t>
      </w:r>
      <w:r w:rsidRPr="001B5A87">
        <w:rPr>
          <w:i/>
        </w:rPr>
        <w:t xml:space="preserve">. </w:t>
      </w:r>
      <w:r w:rsidR="005C146E" w:rsidRPr="001B5A87">
        <w:rPr>
          <w:i/>
        </w:rPr>
        <w:t xml:space="preserve">the </w:t>
      </w:r>
      <w:smartTag w:uri="urn:schemas-microsoft-com:office:smarttags" w:element="country-region">
        <w:smartTag w:uri="urn:schemas-microsoft-com:office:smarttags" w:element="place">
          <w:r w:rsidR="005C146E" w:rsidRPr="001B5A87">
            <w:rPr>
              <w:i/>
            </w:rPr>
            <w:t>United Kingdom</w:t>
          </w:r>
        </w:smartTag>
      </w:smartTag>
      <w:r w:rsidRPr="00BB6E80">
        <w:t xml:space="preserve"> (</w:t>
      </w:r>
      <w:r w:rsidR="005C146E" w:rsidRPr="00BB6E80">
        <w:t>dec</w:t>
      </w:r>
      <w:r w:rsidRPr="00BB6E80">
        <w:t>.), n</w:t>
      </w:r>
      <w:r w:rsidR="005C146E" w:rsidRPr="00BB6E80">
        <w:t>o.</w:t>
      </w:r>
      <w:r w:rsidR="001B5A87">
        <w:t xml:space="preserve"> </w:t>
      </w:r>
      <w:r w:rsidRPr="00BB6E80">
        <w:t xml:space="preserve">36505/02, 21 </w:t>
      </w:r>
      <w:r w:rsidR="005C146E" w:rsidRPr="00BB6E80">
        <w:t xml:space="preserve">January </w:t>
      </w:r>
      <w:r w:rsidRPr="00BB6E80">
        <w:t>2003</w:t>
      </w:r>
      <w:r w:rsidR="00FD2792" w:rsidRPr="00BB6E80">
        <w:t>;</w:t>
      </w:r>
      <w:r w:rsidRPr="00BB6E80">
        <w:t xml:space="preserve"> and </w:t>
      </w:r>
      <w:r w:rsidRPr="001B5A87">
        <w:rPr>
          <w:i/>
        </w:rPr>
        <w:t>M.C. v. Bulgaria</w:t>
      </w:r>
      <w:r w:rsidRPr="00BB6E80">
        <w:t xml:space="preserve">, </w:t>
      </w:r>
      <w:r w:rsidR="001B5A87">
        <w:t>cited above</w:t>
      </w:r>
      <w:r w:rsidRPr="00BB6E80">
        <w:t>, § 150</w:t>
      </w:r>
      <w:r w:rsidR="001B5A87">
        <w:t>)</w:t>
      </w:r>
    </w:p>
    <w:p w:rsidR="007A2F6F" w:rsidRPr="00BB6E80" w:rsidRDefault="007A2F6F" w:rsidP="00BB6E80">
      <w:pPr>
        <w:pStyle w:val="JuPara"/>
      </w:pPr>
      <w:r w:rsidRPr="00BB6E80">
        <w:rPr>
          <w:rStyle w:val="JuQuotChar"/>
        </w:rPr>
        <w:fldChar w:fldCharType="begin"/>
      </w:r>
      <w:r w:rsidRPr="00BB6E80">
        <w:rPr>
          <w:rStyle w:val="JuQuotChar"/>
        </w:rPr>
        <w:instrText xml:space="preserve"> SEQ level0 \*arabic </w:instrText>
      </w:r>
      <w:r w:rsidRPr="00BB6E80">
        <w:rPr>
          <w:rStyle w:val="JuQuotChar"/>
        </w:rPr>
        <w:fldChar w:fldCharType="separate"/>
      </w:r>
      <w:r w:rsidR="00E97C1C">
        <w:rPr>
          <w:rStyle w:val="JuQuotChar"/>
          <w:noProof/>
        </w:rPr>
        <w:t>80</w:t>
      </w:r>
      <w:r w:rsidRPr="00BB6E80">
        <w:rPr>
          <w:rStyle w:val="JuQuotChar"/>
        </w:rPr>
        <w:fldChar w:fldCharType="end"/>
      </w:r>
      <w:r w:rsidRPr="00BB6E80">
        <w:t>.  As regards Article 3 of the Convention, the Court has found on numerous occasions that</w:t>
      </w:r>
    </w:p>
    <w:p w:rsidR="007A2F6F" w:rsidRPr="00BB6E80" w:rsidRDefault="007A2F6F" w:rsidP="00BB6E80">
      <w:pPr>
        <w:pStyle w:val="JuQuot"/>
      </w:pPr>
      <w:r w:rsidRPr="00BB6E80">
        <w:t>“</w:t>
      </w:r>
      <w:r w:rsidR="005C146E" w:rsidRPr="00BB6E80">
        <w:t xml:space="preserve">... </w:t>
      </w:r>
      <w:r w:rsidRPr="00BB6E80">
        <w:t>the obligation on the High Contracting Parties under Article 1 of the Convention to secure to everyone within their jurisdiction the rights and freedoms defined in the Convention, taken together with Article 3, requires States to take measures designed to ensure that individuals within their jurisdiction are not subjected to torture or inhuman or degrading treatment or punishment, including such ill-treatment administered by private individuals</w:t>
      </w:r>
      <w:r w:rsidR="00563C11">
        <w:t>.</w:t>
      </w:r>
      <w:r w:rsidRPr="00BB6E80">
        <w:t>” (</w:t>
      </w:r>
      <w:r w:rsidR="00FD2792" w:rsidRPr="00BB6E80">
        <w:t xml:space="preserve">see </w:t>
      </w:r>
      <w:r w:rsidRPr="00FE0810">
        <w:rPr>
          <w:i/>
        </w:rPr>
        <w:t>A. v. the United Kingdom</w:t>
      </w:r>
      <w:r w:rsidR="00FE0810">
        <w:t>, cited above</w:t>
      </w:r>
      <w:r w:rsidRPr="00BB6E80">
        <w:t xml:space="preserve">, </w:t>
      </w:r>
      <w:r w:rsidR="00FE0810">
        <w:t xml:space="preserve">p. 2699, § </w:t>
      </w:r>
      <w:r w:rsidRPr="00BB6E80">
        <w:t xml:space="preserve">22; </w:t>
      </w:r>
      <w:r w:rsidRPr="00FE0810">
        <w:rPr>
          <w:i/>
        </w:rPr>
        <w:t>Z and Others v. the United Kingdom</w:t>
      </w:r>
      <w:r w:rsidR="00FE0810">
        <w:t>, cited above,</w:t>
      </w:r>
      <w:r w:rsidRPr="00BB6E80">
        <w:t xml:space="preserve"> §§ 73-75</w:t>
      </w:r>
      <w:r w:rsidR="00FD2792" w:rsidRPr="00BB6E80">
        <w:t>;</w:t>
      </w:r>
      <w:r w:rsidRPr="00BB6E80">
        <w:t xml:space="preserve"> </w:t>
      </w:r>
      <w:r w:rsidRPr="00FE0810">
        <w:rPr>
          <w:i/>
        </w:rPr>
        <w:t>E. and Others v. the United Kingdom</w:t>
      </w:r>
      <w:r w:rsidRPr="00BB6E80">
        <w:t>, no. 33218/96, 26 November 2002</w:t>
      </w:r>
      <w:r w:rsidR="00FD2792" w:rsidRPr="00BB6E80">
        <w:t>;</w:t>
      </w:r>
      <w:r w:rsidRPr="00BB6E80">
        <w:t xml:space="preserve"> and </w:t>
      </w:r>
      <w:r w:rsidRPr="00FE0810">
        <w:rPr>
          <w:i/>
        </w:rPr>
        <w:t>M.C. v. Bulgaria</w:t>
      </w:r>
      <w:r w:rsidR="00FE0810">
        <w:t>, cited above, § 149)</w:t>
      </w:r>
    </w:p>
    <w:p w:rsidR="00FE0810" w:rsidRDefault="00FE0810" w:rsidP="00ED64B2">
      <w:pPr>
        <w:pStyle w:val="JuPara"/>
        <w:spacing w:line="360" w:lineRule="auto"/>
        <w:rPr>
          <w:rStyle w:val="JuQuotChar"/>
        </w:rPr>
      </w:pPr>
    </w:p>
    <w:p w:rsidR="007A2F6F" w:rsidRPr="0085722A" w:rsidRDefault="007A2F6F" w:rsidP="00ED64B2">
      <w:pPr>
        <w:pStyle w:val="JuPara"/>
        <w:spacing w:line="360" w:lineRule="auto"/>
        <w:rPr>
          <w:rStyle w:val="JuQuotChar"/>
        </w:rPr>
      </w:pPr>
      <w:r w:rsidRPr="0085722A">
        <w:rPr>
          <w:rStyle w:val="JuQuotChar"/>
        </w:rPr>
        <w:fldChar w:fldCharType="begin"/>
      </w:r>
      <w:r w:rsidRPr="0085722A">
        <w:rPr>
          <w:rStyle w:val="JuQuotChar"/>
        </w:rPr>
        <w:instrText xml:space="preserve"> SEQ level0 \*arabic </w:instrText>
      </w:r>
      <w:r w:rsidRPr="0085722A">
        <w:rPr>
          <w:rStyle w:val="JuQuotChar"/>
        </w:rPr>
        <w:fldChar w:fldCharType="separate"/>
      </w:r>
      <w:r w:rsidR="00E97C1C">
        <w:rPr>
          <w:rStyle w:val="JuQuotChar"/>
          <w:noProof/>
        </w:rPr>
        <w:t>81</w:t>
      </w:r>
      <w:r w:rsidRPr="0085722A">
        <w:rPr>
          <w:rStyle w:val="JuQuotChar"/>
        </w:rPr>
        <w:fldChar w:fldCharType="end"/>
      </w:r>
      <w:r w:rsidRPr="0085722A">
        <w:rPr>
          <w:rStyle w:val="JuQuotChar"/>
        </w:rPr>
        <w:t>.  It has also found that:</w:t>
      </w:r>
    </w:p>
    <w:p w:rsidR="007A2F6F" w:rsidRPr="00BB6E80" w:rsidRDefault="007A2F6F" w:rsidP="00BB6E80">
      <w:pPr>
        <w:pStyle w:val="JuQuot"/>
      </w:pPr>
      <w:r w:rsidRPr="00BB6E80">
        <w:t>“Children and other vulnerable individuals, in particular, are entitled to State protection, in the form of effective deterrence, against such serious breaches of personal integrity</w:t>
      </w:r>
      <w:r w:rsidR="00FE0810">
        <w:t>.</w:t>
      </w:r>
      <w:r w:rsidRPr="00BB6E80">
        <w:t xml:space="preserve">” (see, </w:t>
      </w:r>
      <w:r w:rsidRPr="00FE0810">
        <w:rPr>
          <w:i/>
        </w:rPr>
        <w:t>mutatis mutandis</w:t>
      </w:r>
      <w:r w:rsidRPr="00BB6E80">
        <w:t xml:space="preserve">, </w:t>
      </w:r>
      <w:r w:rsidRPr="00FE0810">
        <w:rPr>
          <w:i/>
        </w:rPr>
        <w:t>X and Y v. the Netherlands</w:t>
      </w:r>
      <w:r w:rsidRPr="00BB6E80">
        <w:t xml:space="preserve">, cited above, </w:t>
      </w:r>
      <w:r w:rsidR="00FE0810">
        <w:t>pp. 11-13, §§ 21-</w:t>
      </w:r>
      <w:r w:rsidR="00FD2792" w:rsidRPr="00BB6E80">
        <w:t>27;</w:t>
      </w:r>
      <w:r w:rsidRPr="00BB6E80">
        <w:t xml:space="preserve"> </w:t>
      </w:r>
      <w:r w:rsidRPr="00FE0810">
        <w:rPr>
          <w:i/>
        </w:rPr>
        <w:t>Stubbings and Others v. the United Kingdom</w:t>
      </w:r>
      <w:r w:rsidR="00FD2792" w:rsidRPr="00BB6E80">
        <w:t>,</w:t>
      </w:r>
      <w:r w:rsidR="00FE0810">
        <w:t xml:space="preserve"> 22 </w:t>
      </w:r>
      <w:r w:rsidRPr="00BB6E80">
        <w:t xml:space="preserve">October 1996, </w:t>
      </w:r>
      <w:r w:rsidRPr="00FE0810">
        <w:rPr>
          <w:i/>
        </w:rPr>
        <w:t>Reports</w:t>
      </w:r>
      <w:r w:rsidR="00FE0810">
        <w:t xml:space="preserve"> 1996-IV, p. 1505, §§ 62-</w:t>
      </w:r>
      <w:r w:rsidRPr="00BB6E80">
        <w:t>64</w:t>
      </w:r>
      <w:r w:rsidR="00FD2792" w:rsidRPr="00BB6E80">
        <w:t>;</w:t>
      </w:r>
      <w:r w:rsidRPr="00BB6E80">
        <w:t xml:space="preserve"> and </w:t>
      </w:r>
      <w:r w:rsidRPr="00FE0810">
        <w:rPr>
          <w:i/>
        </w:rPr>
        <w:t>A. v. the United Kingdom</w:t>
      </w:r>
      <w:r w:rsidRPr="00BB6E80">
        <w:t xml:space="preserve">, cited above, as well as the United Nations Convention on the Rights of </w:t>
      </w:r>
      <w:r w:rsidR="00FE0810">
        <w:t>the Child, Articles 19 and 37)</w:t>
      </w:r>
    </w:p>
    <w:p w:rsidR="007A2F6F" w:rsidRPr="00BB6E80" w:rsidRDefault="007A2F6F" w:rsidP="00BB6E80">
      <w:pPr>
        <w:pStyle w:val="JuPara"/>
      </w:pPr>
      <w:r w:rsidRPr="0085722A">
        <w:rPr>
          <w:rStyle w:val="JuQuotChar"/>
        </w:rPr>
        <w:fldChar w:fldCharType="begin"/>
      </w:r>
      <w:r w:rsidRPr="0085722A">
        <w:rPr>
          <w:rStyle w:val="JuQuotChar"/>
        </w:rPr>
        <w:instrText xml:space="preserve"> SEQ level0 \*arabic </w:instrText>
      </w:r>
      <w:r w:rsidRPr="0085722A">
        <w:rPr>
          <w:rStyle w:val="JuQuotChar"/>
        </w:rPr>
        <w:fldChar w:fldCharType="separate"/>
      </w:r>
      <w:r w:rsidR="00E97C1C">
        <w:rPr>
          <w:rStyle w:val="JuQuotChar"/>
          <w:noProof/>
        </w:rPr>
        <w:t>82</w:t>
      </w:r>
      <w:r w:rsidRPr="0085722A">
        <w:rPr>
          <w:rStyle w:val="JuQuotChar"/>
        </w:rPr>
        <w:fldChar w:fldCharType="end"/>
      </w:r>
      <w:r w:rsidRPr="0085722A">
        <w:rPr>
          <w:rStyle w:val="JuQuotChar"/>
        </w:rPr>
        <w:t>.  </w:t>
      </w:r>
      <w:r w:rsidRPr="00BB6E80">
        <w:rPr>
          <w:rStyle w:val="JuQuotChar"/>
        </w:rPr>
        <w:t>The Court considers that, together with Articles 2 and 3, Article 4 of the Convention enshrines one of the basic values of the democratic societies making up the Council of Europe</w:t>
      </w:r>
      <w:r w:rsidRPr="00BB6E80">
        <w:t>.</w:t>
      </w:r>
    </w:p>
    <w:p w:rsidR="007A2F6F" w:rsidRPr="00BB6E80" w:rsidRDefault="007A2F6F" w:rsidP="00BB6E80">
      <w:pPr>
        <w:pStyle w:val="JuPara"/>
        <w:rPr>
          <w:szCs w:val="23"/>
        </w:rPr>
      </w:pPr>
      <w:r w:rsidRPr="00BB6E80">
        <w:fldChar w:fldCharType="begin"/>
      </w:r>
      <w:r w:rsidRPr="00BB6E80">
        <w:instrText xml:space="preserve"> SEQ level0 \*arabic </w:instrText>
      </w:r>
      <w:r w:rsidRPr="00BB6E80">
        <w:fldChar w:fldCharType="separate"/>
      </w:r>
      <w:r w:rsidR="00E97C1C">
        <w:rPr>
          <w:noProof/>
        </w:rPr>
        <w:t>83</w:t>
      </w:r>
      <w:r w:rsidRPr="00BB6E80">
        <w:fldChar w:fldCharType="end"/>
      </w:r>
      <w:r w:rsidRPr="00BB6E80">
        <w:t>.  It notes that the Commission had proposed in 1983 that it could be argued that a Government</w:t>
      </w:r>
      <w:r w:rsidR="00C63C92">
        <w:t>'</w:t>
      </w:r>
      <w:r w:rsidRPr="00BB6E80">
        <w:t>s responsibility was engaged to the extent that it was their duty to ensure that the rules adopted by a private association did not run contrary to the provisions of the Convention, in particular where the domestic courts had jurisdiction to examine their application (</w:t>
      </w:r>
      <w:r w:rsidR="00F12CBD">
        <w:t xml:space="preserve">see </w:t>
      </w:r>
      <w:r w:rsidRPr="00F12CBD">
        <w:rPr>
          <w:i/>
        </w:rPr>
        <w:t xml:space="preserve">X </w:t>
      </w:r>
      <w:r w:rsidR="00FD2792" w:rsidRPr="00F12CBD">
        <w:rPr>
          <w:i/>
        </w:rPr>
        <w:t>v</w:t>
      </w:r>
      <w:r w:rsidRPr="00F12CBD">
        <w:rPr>
          <w:i/>
        </w:rPr>
        <w:t xml:space="preserve">. </w:t>
      </w:r>
      <w:r w:rsidR="00FD2792" w:rsidRPr="00F12CBD">
        <w:rPr>
          <w:i/>
        </w:rPr>
        <w:t>the Netherlands</w:t>
      </w:r>
      <w:r w:rsidRPr="00BB6E80">
        <w:t xml:space="preserve">, </w:t>
      </w:r>
      <w:r w:rsidR="00F12CBD">
        <w:rPr>
          <w:szCs w:val="24"/>
        </w:rPr>
        <w:t xml:space="preserve">no. </w:t>
      </w:r>
      <w:r w:rsidRPr="00BB6E80">
        <w:rPr>
          <w:szCs w:val="24"/>
        </w:rPr>
        <w:t>9327/81</w:t>
      </w:r>
      <w:r w:rsidRPr="00BB6E80">
        <w:rPr>
          <w:szCs w:val="23"/>
        </w:rPr>
        <w:t xml:space="preserve">, Commission </w:t>
      </w:r>
      <w:r w:rsidRPr="00BB6E80">
        <w:rPr>
          <w:szCs w:val="24"/>
        </w:rPr>
        <w:t>decision of 3 May 1983, Decisions and Reports (DR) 32, p. 180</w:t>
      </w:r>
      <w:r w:rsidRPr="00BB6E80">
        <w:rPr>
          <w:szCs w:val="23"/>
        </w:rPr>
        <w:t>).</w:t>
      </w:r>
    </w:p>
    <w:p w:rsidR="007A2F6F" w:rsidRPr="00BB6E80" w:rsidRDefault="007A2F6F" w:rsidP="00BB6E80">
      <w:pPr>
        <w:pStyle w:val="JuPara"/>
        <w:rPr>
          <w:rStyle w:val="JuQuotChar"/>
        </w:rPr>
      </w:pPr>
      <w:r w:rsidRPr="00BB6E80">
        <w:rPr>
          <w:rStyle w:val="JuQuotChar"/>
        </w:rPr>
        <w:fldChar w:fldCharType="begin"/>
      </w:r>
      <w:r w:rsidRPr="00BB6E80">
        <w:rPr>
          <w:rStyle w:val="JuQuotChar"/>
        </w:rPr>
        <w:instrText xml:space="preserve"> SEQ level0 \*arabic </w:instrText>
      </w:r>
      <w:r w:rsidRPr="00BB6E80">
        <w:rPr>
          <w:rStyle w:val="JuQuotChar"/>
        </w:rPr>
        <w:fldChar w:fldCharType="separate"/>
      </w:r>
      <w:r w:rsidR="00E97C1C">
        <w:rPr>
          <w:rStyle w:val="JuQuotChar"/>
          <w:noProof/>
        </w:rPr>
        <w:t>84</w:t>
      </w:r>
      <w:r w:rsidRPr="00BB6E80">
        <w:rPr>
          <w:rStyle w:val="JuQuotChar"/>
        </w:rPr>
        <w:fldChar w:fldCharType="end"/>
      </w:r>
      <w:r w:rsidRPr="00BB6E80">
        <w:rPr>
          <w:rStyle w:val="JuQuotChar"/>
        </w:rPr>
        <w:t xml:space="preserve">.  The Court notes that, in referring to the above-mentioned case, </w:t>
      </w:r>
      <w:r w:rsidR="00AD4AB9" w:rsidRPr="00BB6E80">
        <w:rPr>
          <w:rStyle w:val="JuQuotChar"/>
        </w:rPr>
        <w:t xml:space="preserve">the Government accepted at the hearing </w:t>
      </w:r>
      <w:r w:rsidRPr="00BB6E80">
        <w:rPr>
          <w:rStyle w:val="JuQuotChar"/>
        </w:rPr>
        <w:t xml:space="preserve">that positive obligations did </w:t>
      </w:r>
      <w:r w:rsidR="00AD4AB9" w:rsidRPr="00BB6E80">
        <w:rPr>
          <w:rStyle w:val="JuQuotChar"/>
        </w:rPr>
        <w:t xml:space="preserve">appear to </w:t>
      </w:r>
      <w:r w:rsidRPr="00BB6E80">
        <w:rPr>
          <w:rStyle w:val="JuQuotChar"/>
        </w:rPr>
        <w:t>exist in respect of Article 4.</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85</w:t>
      </w:r>
      <w:r w:rsidRPr="00BB6E80">
        <w:fldChar w:fldCharType="end"/>
      </w:r>
      <w:r w:rsidRPr="00BB6E80">
        <w:t>.  In thi</w:t>
      </w:r>
      <w:r w:rsidR="00F12CBD">
        <w:t xml:space="preserve">s connection, it notes that </w:t>
      </w:r>
      <w:r w:rsidRPr="00BB6E80">
        <w:t xml:space="preserve">Article 4 </w:t>
      </w:r>
      <w:r w:rsidR="004D1C7F">
        <w:t xml:space="preserve">§ 1 </w:t>
      </w:r>
      <w:r w:rsidRPr="00BB6E80">
        <w:t>of the Forced Labour Convention, adopted by the International Labour Organisation</w:t>
      </w:r>
      <w:r w:rsidR="00F12CBD">
        <w:t xml:space="preserve"> (ILO)</w:t>
      </w:r>
      <w:r w:rsidRPr="00BB6E80">
        <w:t xml:space="preserve"> on 28 June 1930 and ratified by </w:t>
      </w:r>
      <w:smartTag w:uri="urn:schemas-microsoft-com:office:smarttags" w:element="place">
        <w:smartTag w:uri="urn:schemas-microsoft-com:office:smarttags" w:element="country-region">
          <w:r w:rsidRPr="00BB6E80">
            <w:t>France</w:t>
          </w:r>
        </w:smartTag>
      </w:smartTag>
      <w:r w:rsidRPr="00BB6E80">
        <w:t xml:space="preserve"> on 24 June 1937, provides:</w:t>
      </w:r>
    </w:p>
    <w:p w:rsidR="007A2F6F" w:rsidRPr="00BB6E80" w:rsidRDefault="00F12CBD" w:rsidP="00BB6E80">
      <w:pPr>
        <w:pStyle w:val="JuQuot"/>
      </w:pPr>
      <w:r>
        <w:rPr>
          <w:rStyle w:val="Emphasis"/>
          <w:i w:val="0"/>
          <w:iCs w:val="0"/>
        </w:rPr>
        <w:t>“</w:t>
      </w:r>
      <w:r w:rsidR="007A2F6F" w:rsidRPr="00BB6E80">
        <w:t>The competent authority shall not impose or permit the imposition of forced or compulsory labour for the benefit of private individuals, companies or associations.”</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86</w:t>
      </w:r>
      <w:r w:rsidRPr="00BB6E80">
        <w:fldChar w:fldCharType="end"/>
      </w:r>
      <w:r w:rsidRPr="00BB6E80">
        <w:t>.  Furthermore, Article 1 of the Supplementary Convention on the Abolition of Slavery, the Slave Trade, and Institutions and Practices Similar to Slavery, adopte</w:t>
      </w:r>
      <w:r w:rsidR="00F12CBD">
        <w:t xml:space="preserve">d on </w:t>
      </w:r>
      <w:smartTag w:uri="urn:schemas-microsoft-com:office:smarttags" w:element="date">
        <w:smartTagPr>
          <w:attr w:name="Month" w:val="4"/>
          <w:attr w:name="Day" w:val="30"/>
          <w:attr w:name="Year" w:val="1956"/>
        </w:smartTagPr>
        <w:r w:rsidR="00F12CBD">
          <w:t>30 April 1956</w:t>
        </w:r>
      </w:smartTag>
      <w:r w:rsidR="00F12CBD">
        <w:t>, which came</w:t>
      </w:r>
      <w:r w:rsidRPr="00BB6E80">
        <w:t xml:space="preserve"> into force in respect of </w:t>
      </w:r>
      <w:smartTag w:uri="urn:schemas-microsoft-com:office:smarttags" w:element="place">
        <w:smartTag w:uri="urn:schemas-microsoft-com:office:smarttags" w:element="country-region">
          <w:r w:rsidRPr="00BB6E80">
            <w:t>France</w:t>
          </w:r>
        </w:smartTag>
      </w:smartTag>
      <w:r w:rsidRPr="00BB6E80">
        <w:t xml:space="preserve"> on </w:t>
      </w:r>
      <w:smartTag w:uri="urn:schemas-microsoft-com:office:smarttags" w:element="date">
        <w:smartTagPr>
          <w:attr w:name="Month" w:val="5"/>
          <w:attr w:name="Day" w:val="26"/>
          <w:attr w:name="Year" w:val="1964"/>
        </w:smartTagPr>
        <w:r w:rsidRPr="00BB6E80">
          <w:t>26 May 1964</w:t>
        </w:r>
      </w:smartTag>
      <w:r w:rsidR="003470BA">
        <w:t>, states:</w:t>
      </w:r>
    </w:p>
    <w:p w:rsidR="007A2F6F" w:rsidRPr="00BB6E80" w:rsidRDefault="007A2F6F" w:rsidP="00BB6E80">
      <w:pPr>
        <w:pStyle w:val="JuQuot"/>
      </w:pPr>
      <w:r w:rsidRPr="00BB6E80">
        <w:t>“Each of the States Parties to this Convention shall take all practicable and necessary legislative and other measures to bring about progressively and as soon as possible the complete abolition or abandonment of the following institutions and practices, where they still exist and whether or not they are covered by the defi</w:t>
      </w:r>
      <w:r w:rsidR="00802328">
        <w:t>nition of slavery contained in A</w:t>
      </w:r>
      <w:r w:rsidRPr="00BB6E80">
        <w:t>rticle 1 of the Slavery Co</w:t>
      </w:r>
      <w:r w:rsidR="00802328">
        <w:t>nvention signed at Geneva on 25 </w:t>
      </w:r>
      <w:r w:rsidRPr="00BB6E80">
        <w:t xml:space="preserve">September 1926: </w:t>
      </w:r>
      <w:r w:rsidR="00802328" w:rsidRPr="0085722A">
        <w:t>...</w:t>
      </w:r>
      <w:r w:rsidRPr="00BB6E80">
        <w:t xml:space="preserve"> </w:t>
      </w:r>
      <w:r w:rsidR="005C146E" w:rsidRPr="00BB6E80">
        <w:t>[</w:t>
      </w:r>
      <w:r w:rsidRPr="00BB6E80">
        <w:t>d</w:t>
      </w:r>
      <w:r w:rsidR="005C146E" w:rsidRPr="00BB6E80">
        <w:t>]</w:t>
      </w:r>
      <w:r w:rsidRPr="00BB6E80">
        <w:t xml:space="preserve">ebt bondage, </w:t>
      </w:r>
      <w:r w:rsidR="00802328" w:rsidRPr="0085722A">
        <w:t>...</w:t>
      </w:r>
      <w:r w:rsidRPr="00BB6E80">
        <w:t xml:space="preserve"> </w:t>
      </w:r>
      <w:r w:rsidR="005C146E" w:rsidRPr="00BB6E80">
        <w:t>[a]</w:t>
      </w:r>
      <w:r w:rsidRPr="00BB6E80">
        <w:t>ny institution or practice whereby a child or young person under the age of 18 years, is delivered by either or both of his natural parents or by his guardian to another person, whether for reward or not, with a view to the exploitation of the child or young person or of his labour.”</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87</w:t>
      </w:r>
      <w:r w:rsidRPr="00BB6E80">
        <w:fldChar w:fldCharType="end"/>
      </w:r>
      <w:r w:rsidRPr="00BB6E80">
        <w:t xml:space="preserve">.  In addition, </w:t>
      </w:r>
      <w:r w:rsidR="00A527A6" w:rsidRPr="00BB6E80">
        <w:t xml:space="preserve">with particular </w:t>
      </w:r>
      <w:r w:rsidRPr="00BB6E80">
        <w:t>regard</w:t>
      </w:r>
      <w:r w:rsidR="00A527A6" w:rsidRPr="00BB6E80">
        <w:t xml:space="preserve"> to children</w:t>
      </w:r>
      <w:r w:rsidRPr="00BB6E80">
        <w:t xml:space="preserve">, </w:t>
      </w:r>
      <w:r w:rsidR="00A527A6" w:rsidRPr="00BB6E80">
        <w:t xml:space="preserve">Article 19 </w:t>
      </w:r>
      <w:r w:rsidR="004D1C7F">
        <w:t xml:space="preserve">§ 1 </w:t>
      </w:r>
      <w:r w:rsidR="00A527A6" w:rsidRPr="00BB6E80">
        <w:t xml:space="preserve">of the </w:t>
      </w:r>
      <w:r w:rsidRPr="00BB6E80">
        <w:t>International Convention on the Rights of the Child of 20 November 1989</w:t>
      </w:r>
      <w:r w:rsidR="00802328">
        <w:t>, which came</w:t>
      </w:r>
      <w:r w:rsidRPr="00BB6E80">
        <w:t xml:space="preserve"> into force in respect of France on 6 September 1990, provides:</w:t>
      </w:r>
    </w:p>
    <w:p w:rsidR="00802328" w:rsidRPr="00BB6E80" w:rsidRDefault="007A2F6F" w:rsidP="00BB6E80">
      <w:pPr>
        <w:pStyle w:val="JuQuot"/>
      </w:pPr>
      <w:r w:rsidRPr="00BB6E80">
        <w:t xml:space="preserve">“States Parties shall take all appropriate legislative, administrative, social and educational measures to protect the child from all forms of physical or mental violence, injury or abuse, </w:t>
      </w:r>
      <w:r w:rsidR="00802328" w:rsidRPr="0085722A">
        <w:t>...</w:t>
      </w:r>
      <w:r w:rsidRPr="00BB6E80">
        <w:t>, maltreatment or exploitation, including sexual abuse, while in the care of parent(s), legal guardian(s) or any other person who has the care of the child</w:t>
      </w:r>
      <w:r w:rsidR="00802328">
        <w:t>.”</w:t>
      </w:r>
    </w:p>
    <w:p w:rsidR="007A2F6F" w:rsidRPr="0085722A" w:rsidRDefault="007A2F6F" w:rsidP="00ED64B2">
      <w:pPr>
        <w:pStyle w:val="JuPara"/>
        <w:spacing w:line="360" w:lineRule="auto"/>
        <w:rPr>
          <w:szCs w:val="24"/>
        </w:rPr>
      </w:pPr>
      <w:r w:rsidRPr="0085722A">
        <w:t>Article 32</w:t>
      </w:r>
      <w:r w:rsidR="00A527A6" w:rsidRPr="0085722A">
        <w:t xml:space="preserve"> provides</w:t>
      </w:r>
      <w:r w:rsidRPr="0085722A">
        <w:t>:</w:t>
      </w:r>
    </w:p>
    <w:p w:rsidR="007A2F6F" w:rsidRPr="00BB6E80" w:rsidRDefault="007A2F6F" w:rsidP="00BB6E80">
      <w:pPr>
        <w:pStyle w:val="JuQuot"/>
      </w:pPr>
      <w:r w:rsidRPr="00BB6E80">
        <w:t>“1.  States Parties recogni</w:t>
      </w:r>
      <w:r w:rsidR="00563C11">
        <w:t>s</w:t>
      </w:r>
      <w:r w:rsidRPr="00BB6E80">
        <w:t>e the right of the child to be protected from economic exploitation and from performing any work that is likely to be hazardous</w:t>
      </w:r>
      <w:r w:rsidR="00802328">
        <w:t xml:space="preserve"> or to interfere with the child</w:t>
      </w:r>
      <w:r w:rsidR="00C63C92">
        <w:t>'</w:t>
      </w:r>
      <w:r w:rsidRPr="00BB6E80">
        <w:t>s education</w:t>
      </w:r>
      <w:r w:rsidR="00802328">
        <w:t>, or to be harmful to the child</w:t>
      </w:r>
      <w:r w:rsidR="00C63C92">
        <w:t>'</w:t>
      </w:r>
      <w:r w:rsidRPr="00BB6E80">
        <w:t>s health or physical, mental, spiritual, moral or social development.</w:t>
      </w:r>
    </w:p>
    <w:p w:rsidR="007A2F6F" w:rsidRPr="00BB6E80" w:rsidRDefault="00802328" w:rsidP="00BB6E80">
      <w:pPr>
        <w:pStyle w:val="JuQuot"/>
      </w:pPr>
      <w:r>
        <w:t>2.  </w:t>
      </w:r>
      <w:r w:rsidR="007A2F6F" w:rsidRPr="00BB6E80">
        <w:t>States Parties shall take legislative, administrative, social and educational measures to ensure the</w:t>
      </w:r>
      <w:r>
        <w:t xml:space="preserve"> implementation of the present A</w:t>
      </w:r>
      <w:r w:rsidR="007A2F6F" w:rsidRPr="00BB6E80">
        <w:t>rticle. To this end, and having regard to the relevant provisions of other international instruments, States Parties shall in particular:</w:t>
      </w:r>
    </w:p>
    <w:p w:rsidR="007A2F6F" w:rsidRPr="00BB6E80" w:rsidRDefault="00802328" w:rsidP="00BB6E80">
      <w:pPr>
        <w:pStyle w:val="JuQuot"/>
      </w:pPr>
      <w:r>
        <w:t>(a)  </w:t>
      </w:r>
      <w:r w:rsidR="007A2F6F" w:rsidRPr="00BB6E80">
        <w:t>Provide for a minimum age or minimum ages for admission to employment;</w:t>
      </w:r>
    </w:p>
    <w:p w:rsidR="007A2F6F" w:rsidRPr="00BB6E80" w:rsidRDefault="00802328" w:rsidP="00BB6E80">
      <w:pPr>
        <w:pStyle w:val="JuQuot"/>
      </w:pPr>
      <w:r>
        <w:t>(b)  </w:t>
      </w:r>
      <w:r w:rsidR="007A2F6F" w:rsidRPr="00BB6E80">
        <w:t>Provide for appropriate regulation of the hours and conditions of employment;</w:t>
      </w:r>
    </w:p>
    <w:p w:rsidR="007A2F6F" w:rsidRPr="00BB6E80" w:rsidRDefault="00802328" w:rsidP="00BB6E80">
      <w:pPr>
        <w:pStyle w:val="JuQuot"/>
      </w:pPr>
      <w:r>
        <w:t>(c)  </w:t>
      </w:r>
      <w:r w:rsidR="007A2F6F" w:rsidRPr="00BB6E80">
        <w:t>Provide for appropriate penalties or other sanctions to ensure the effect</w:t>
      </w:r>
      <w:r>
        <w:t>ive enforcement of the present A</w:t>
      </w:r>
      <w:r w:rsidR="007A2F6F" w:rsidRPr="00BB6E80">
        <w:t>rticle.”</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88</w:t>
      </w:r>
      <w:r w:rsidRPr="00BB6E80">
        <w:fldChar w:fldCharType="end"/>
      </w:r>
      <w:r w:rsidRPr="00BB6E80">
        <w:t>.  Finally, the Court notes that it appears from the Parliamentary Assembly</w:t>
      </w:r>
      <w:r w:rsidR="00C63C92">
        <w:t>'</w:t>
      </w:r>
      <w:r w:rsidRPr="00BB6E80">
        <w:t>s findings (see “Relevant law” above) that “today</w:t>
      </w:r>
      <w:r w:rsidR="00C63C92">
        <w:t>'</w:t>
      </w:r>
      <w:r w:rsidRPr="00BB6E80">
        <w:t>s slaves are predominantly female and usually work in private households, starting out as migrant domestic workers</w:t>
      </w:r>
      <w:r w:rsidR="00802328">
        <w:t xml:space="preserve"> </w:t>
      </w:r>
      <w:r w:rsidRPr="00BB6E80">
        <w:t>...”</w:t>
      </w:r>
      <w:r w:rsidR="003F764E">
        <w:t>.</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89</w:t>
      </w:r>
      <w:r w:rsidRPr="00BB6E80">
        <w:fldChar w:fldCharType="end"/>
      </w:r>
      <w:r w:rsidRPr="00BB6E80">
        <w:t xml:space="preserve">.  In those circumstances, the Court considers that limiting compliance with Article 4 of the Convention only to direct action by the State authorities would be inconsistent with the international instruments specifically concerned with this issue and would amount to rendering it ineffective. Accordingly, it necessarily follows from this provision that </w:t>
      </w:r>
      <w:r w:rsidR="004D1C7F">
        <w:t>States</w:t>
      </w:r>
      <w:r w:rsidR="004D1C7F" w:rsidRPr="00BB6E80">
        <w:t xml:space="preserve"> </w:t>
      </w:r>
      <w:r w:rsidRPr="00BB6E80">
        <w:t>have positive obligations, in the same wa</w:t>
      </w:r>
      <w:r w:rsidR="00A527A6" w:rsidRPr="00BB6E80">
        <w:t>y</w:t>
      </w:r>
      <w:r w:rsidRPr="00BB6E80">
        <w:t xml:space="preserve"> as under Article 3 for example, to adopt criminal-law provisions which penalise the practices referred to in Article 4 and to apply them in practice (see </w:t>
      </w:r>
      <w:r w:rsidRPr="00802328">
        <w:rPr>
          <w:i/>
        </w:rPr>
        <w:t>M.C. v. Bulgaria</w:t>
      </w:r>
      <w:r w:rsidRPr="00BB6E80">
        <w:t>, cited above, § 153).</w:t>
      </w:r>
    </w:p>
    <w:p w:rsidR="007A2F6F" w:rsidRPr="0085722A" w:rsidRDefault="007A2F6F" w:rsidP="00ED64B2">
      <w:pPr>
        <w:pStyle w:val="JuH1"/>
        <w:spacing w:line="360" w:lineRule="auto"/>
      </w:pPr>
      <w:r w:rsidRPr="0085722A">
        <w:t>2. </w:t>
      </w:r>
      <w:r w:rsidR="00802328">
        <w:t> </w:t>
      </w:r>
      <w:r w:rsidR="005C146E" w:rsidRPr="0085722A">
        <w:t>Alleged</w:t>
      </w:r>
      <w:r w:rsidRPr="0085722A">
        <w:t xml:space="preserve"> violation of Article 4 of the Convention</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90</w:t>
      </w:r>
      <w:r w:rsidRPr="00BB6E80">
        <w:fldChar w:fldCharType="end"/>
      </w:r>
      <w:r w:rsidRPr="00BB6E80">
        <w:t xml:space="preserve">.  With regard to the violation of Article 4 of the Convention, the applicant noted from the outset that the right not to be held in servitude </w:t>
      </w:r>
      <w:r w:rsidR="00A527A6" w:rsidRPr="00BB6E80">
        <w:t xml:space="preserve">laid down </w:t>
      </w:r>
      <w:r w:rsidRPr="00BB6E80">
        <w:t xml:space="preserve">in this provision was an absolute </w:t>
      </w:r>
      <w:r w:rsidR="00A527A6" w:rsidRPr="00BB6E80">
        <w:t>one</w:t>
      </w:r>
      <w:r w:rsidRPr="00BB6E80">
        <w:t xml:space="preserve">, in the same way as the right not to be compelled to </w:t>
      </w:r>
      <w:r w:rsidR="00A527A6" w:rsidRPr="00BB6E80">
        <w:t xml:space="preserve">perform </w:t>
      </w:r>
      <w:r w:rsidRPr="00BB6E80">
        <w:t>forced or compulsory labour.</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91</w:t>
      </w:r>
      <w:r w:rsidRPr="00BB6E80">
        <w:fldChar w:fldCharType="end"/>
      </w:r>
      <w:r w:rsidRPr="00BB6E80">
        <w:t xml:space="preserve">.  She </w:t>
      </w:r>
      <w:r w:rsidR="005C146E" w:rsidRPr="00BB6E80">
        <w:t xml:space="preserve">said </w:t>
      </w:r>
      <w:r w:rsidRPr="00BB6E80">
        <w:t xml:space="preserve">that, although the Convention did not define the terms servitude or “forced or compulsory labour”, </w:t>
      </w:r>
      <w:r w:rsidR="005C146E" w:rsidRPr="00BB6E80">
        <w:t>reference should be made</w:t>
      </w:r>
      <w:r w:rsidRPr="00BB6E80">
        <w:t xml:space="preserve"> to the relevant international conventions in this field to determine the </w:t>
      </w:r>
      <w:r w:rsidR="005C146E" w:rsidRPr="00BB6E80">
        <w:t xml:space="preserve">meaning </w:t>
      </w:r>
      <w:r w:rsidRPr="00BB6E80">
        <w:t>of these concepts</w:t>
      </w:r>
      <w:r w:rsidR="00563C11">
        <w:t>,</w:t>
      </w:r>
      <w:r w:rsidRPr="00BB6E80">
        <w:t xml:space="preserve"> </w:t>
      </w:r>
      <w:r w:rsidR="005C146E" w:rsidRPr="00BB6E80">
        <w:t xml:space="preserve">while </w:t>
      </w:r>
      <w:r w:rsidRPr="00BB6E80">
        <w:t xml:space="preserve">importance </w:t>
      </w:r>
      <w:r w:rsidR="005C146E" w:rsidRPr="00BB6E80">
        <w:t xml:space="preserve">had to be attached </w:t>
      </w:r>
      <w:r w:rsidRPr="00BB6E80">
        <w:t xml:space="preserve">in the instant case to the criteria </w:t>
      </w:r>
      <w:r w:rsidR="005C146E" w:rsidRPr="00BB6E80">
        <w:t xml:space="preserve">laid down by both the United Nations and the Council of Europe </w:t>
      </w:r>
      <w:r w:rsidRPr="00BB6E80">
        <w:t xml:space="preserve">for identifying modern forms of slavery and servitude, </w:t>
      </w:r>
      <w:r w:rsidR="005C146E" w:rsidRPr="00BB6E80">
        <w:t xml:space="preserve">which were </w:t>
      </w:r>
      <w:r w:rsidRPr="00BB6E80">
        <w:t xml:space="preserve">closely linked to trafficking in human beings, and to the internationally recognised necessity of </w:t>
      </w:r>
      <w:r w:rsidR="00F41BC2" w:rsidRPr="00BB6E80">
        <w:t xml:space="preserve">affording children </w:t>
      </w:r>
      <w:r w:rsidRPr="00BB6E80">
        <w:t>special protection on account of their age and vulnerability.</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92</w:t>
      </w:r>
      <w:r w:rsidRPr="00BB6E80">
        <w:fldChar w:fldCharType="end"/>
      </w:r>
      <w:r w:rsidRPr="00BB6E80">
        <w:t xml:space="preserve">.  She pointed out that her situation had corresponded to three of the four </w:t>
      </w:r>
      <w:r w:rsidR="001213A3" w:rsidRPr="00BB6E80">
        <w:t xml:space="preserve">servile </w:t>
      </w:r>
      <w:r w:rsidRPr="00BB6E80">
        <w:t>institutions or practices</w:t>
      </w:r>
      <w:r w:rsidR="00BF2840" w:rsidRPr="00BB6E80">
        <w:t xml:space="preserve"> </w:t>
      </w:r>
      <w:r w:rsidRPr="00BB6E80">
        <w:t xml:space="preserve">referred to in Article 1 of the Supplementary Geneva Convention of 30 April 1956, namely debt bondage, the delivery of a child or adolescent to a third person, whether for reward or not, with a view to the exploitation of his or her labour, and </w:t>
      </w:r>
      <w:r w:rsidR="00A527A6" w:rsidRPr="00BB6E80">
        <w:t>serfdom</w:t>
      </w:r>
      <w:r w:rsidRPr="00BB6E80">
        <w:t>. She noted that she had not come to France in order to work as a domestic servant but had been obliged to do so as a result of the trafficking to which she had been subjected by Mrs B., who had obtained her parents</w:t>
      </w:r>
      <w:r w:rsidR="00C63C92">
        <w:t>'</w:t>
      </w:r>
      <w:r w:rsidRPr="00BB6E80">
        <w:t xml:space="preserve"> agreement through false promises.</w:t>
      </w:r>
    </w:p>
    <w:p w:rsidR="007A2F6F" w:rsidRPr="00BB6E80" w:rsidRDefault="007A2F6F" w:rsidP="00BB6E80">
      <w:pPr>
        <w:pStyle w:val="JuPara"/>
      </w:pPr>
      <w:r w:rsidRPr="00BB6E80">
        <w:t xml:space="preserve">She concluded that such “delivery” of a child by her father, with a view to </w:t>
      </w:r>
      <w:r w:rsidR="001213A3" w:rsidRPr="00BB6E80">
        <w:t xml:space="preserve">the </w:t>
      </w:r>
      <w:r w:rsidRPr="00BB6E80">
        <w:t>exploitation of her labour, was similar to the practice, analogous to slavery, referred to in Article 1 (d) of the United Nations Supplementary Convention</w:t>
      </w:r>
      <w:r w:rsidR="00BF2840" w:rsidRPr="00BB6E80">
        <w:t xml:space="preserve"> of 1956</w:t>
      </w:r>
      <w:r w:rsidRPr="00BB6E80">
        <w:t>.</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93</w:t>
      </w:r>
      <w:r w:rsidRPr="00BB6E80">
        <w:fldChar w:fldCharType="end"/>
      </w:r>
      <w:r w:rsidRPr="00BB6E80">
        <w:t xml:space="preserve">.  The applicant also referred to the </w:t>
      </w:r>
      <w:r w:rsidR="001213A3" w:rsidRPr="00BB6E80">
        <w:t xml:space="preserve">documentation published by the </w:t>
      </w:r>
      <w:r w:rsidRPr="00BB6E80">
        <w:t>Council of Europe on domestic slavery and pointed out that the criteria used included confiscation of the individual</w:t>
      </w:r>
      <w:r w:rsidR="00C63C92">
        <w:t>'</w:t>
      </w:r>
      <w:r w:rsidRPr="00BB6E80">
        <w:t xml:space="preserve">s passport, the absence of remuneration or remuneration that </w:t>
      </w:r>
      <w:r w:rsidR="00BF2840" w:rsidRPr="00BB6E80">
        <w:t>wa</w:t>
      </w:r>
      <w:r w:rsidRPr="00BB6E80">
        <w:t xml:space="preserve">s disproportionate to the services provided, deprivation of liberty or self-imposed imprisonment, </w:t>
      </w:r>
      <w:r w:rsidR="00BF2840" w:rsidRPr="00BB6E80">
        <w:t xml:space="preserve">and </w:t>
      </w:r>
      <w:r w:rsidRPr="00BB6E80">
        <w:t>cultural, physical and emotional isolation.</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94</w:t>
      </w:r>
      <w:r w:rsidRPr="00BB6E80">
        <w:fldChar w:fldCharType="end"/>
      </w:r>
      <w:r w:rsidRPr="00BB6E80">
        <w:t>.  She added that it was clear from the facts that her situation was not temporary or occasional in nature, as was normally the case with “forced or compulsory labour”. Her freedom to come and go had been limited, her passport had been taken away from her</w:t>
      </w:r>
      <w:r w:rsidR="001213A3" w:rsidRPr="00BB6E80">
        <w:t xml:space="preserve">, her immigration status had been </w:t>
      </w:r>
      <w:r w:rsidRPr="00BB6E80">
        <w:t xml:space="preserve">precarious </w:t>
      </w:r>
      <w:r w:rsidR="001213A3" w:rsidRPr="00BB6E80">
        <w:t xml:space="preserve">before becoming </w:t>
      </w:r>
      <w:r w:rsidRPr="00BB6E80">
        <w:t>illegal, and she had also been kept by Mr and Mrs B. in a state of fear that she would be arrested and expelled. She considered that this was equivalent to the concept of self-</w:t>
      </w:r>
      <w:r w:rsidR="001213A3" w:rsidRPr="00BB6E80">
        <w:t xml:space="preserve">imposed </w:t>
      </w:r>
      <w:r w:rsidRPr="00BB6E80">
        <w:t>imprisonment described above.</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95</w:t>
      </w:r>
      <w:r w:rsidRPr="00BB6E80">
        <w:fldChar w:fldCharType="end"/>
      </w:r>
      <w:r w:rsidRPr="00BB6E80">
        <w:t>.  </w:t>
      </w:r>
      <w:r w:rsidR="001213A3" w:rsidRPr="00BB6E80">
        <w:t>Referring</w:t>
      </w:r>
      <w:r w:rsidRPr="00BB6E80">
        <w:t xml:space="preserve"> to her</w:t>
      </w:r>
      <w:r w:rsidR="00492710" w:rsidRPr="00BB6E80">
        <w:t xml:space="preserve"> working </w:t>
      </w:r>
      <w:r w:rsidRPr="00BB6E80">
        <w:t>and living conditions at Mr and Mrs B.</w:t>
      </w:r>
      <w:r w:rsidR="00C63C92">
        <w:t>'</w:t>
      </w:r>
      <w:r w:rsidRPr="00BB6E80">
        <w:t xml:space="preserve">s home, she concluded </w:t>
      </w:r>
      <w:r w:rsidR="003F764E">
        <w:t xml:space="preserve">that </w:t>
      </w:r>
      <w:r w:rsidR="001213A3" w:rsidRPr="00BB6E80">
        <w:t>her</w:t>
      </w:r>
      <w:r w:rsidRPr="00BB6E80">
        <w:t xml:space="preserve"> exploitation </w:t>
      </w:r>
      <w:r w:rsidR="001213A3" w:rsidRPr="00BB6E80">
        <w:t>at their hands</w:t>
      </w:r>
      <w:r w:rsidRPr="00BB6E80">
        <w:t xml:space="preserve"> had compromised her education and social integration, </w:t>
      </w:r>
      <w:r w:rsidR="00492710" w:rsidRPr="00BB6E80">
        <w:t xml:space="preserve">as well as </w:t>
      </w:r>
      <w:r w:rsidRPr="00BB6E80">
        <w:t>the development and free expression of her personality</w:t>
      </w:r>
      <w:r w:rsidR="001213A3" w:rsidRPr="00BB6E80">
        <w:t>.</w:t>
      </w:r>
      <w:r w:rsidRPr="00BB6E80">
        <w:t xml:space="preserve"> </w:t>
      </w:r>
      <w:r w:rsidR="001213A3" w:rsidRPr="00BB6E80">
        <w:t xml:space="preserve">Her </w:t>
      </w:r>
      <w:r w:rsidR="00492710" w:rsidRPr="00BB6E80">
        <w:t xml:space="preserve">identity as a whole </w:t>
      </w:r>
      <w:r w:rsidRPr="00BB6E80">
        <w:t xml:space="preserve">had been </w:t>
      </w:r>
      <w:r w:rsidR="00492710" w:rsidRPr="00BB6E80">
        <w:t>involved</w:t>
      </w:r>
      <w:r w:rsidRPr="00BB6E80">
        <w:t xml:space="preserve">, </w:t>
      </w:r>
      <w:r w:rsidR="001213A3" w:rsidRPr="00BB6E80">
        <w:t xml:space="preserve">which was </w:t>
      </w:r>
      <w:r w:rsidRPr="00BB6E80">
        <w:t>a characteristic of servitude but not</w:t>
      </w:r>
      <w:r w:rsidR="001213A3" w:rsidRPr="00BB6E80">
        <w:t>, in</w:t>
      </w:r>
      <w:r w:rsidRPr="00BB6E80">
        <w:t xml:space="preserve"> general</w:t>
      </w:r>
      <w:r w:rsidR="001213A3" w:rsidRPr="00BB6E80">
        <w:t>,</w:t>
      </w:r>
      <w:r w:rsidRPr="00BB6E80">
        <w:t xml:space="preserve"> </w:t>
      </w:r>
      <w:r w:rsidR="00492710" w:rsidRPr="00BB6E80">
        <w:t xml:space="preserve">of </w:t>
      </w:r>
      <w:r w:rsidRPr="00BB6E80">
        <w:t>forced or compulsory labour.</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96</w:t>
      </w:r>
      <w:r w:rsidRPr="00BB6E80">
        <w:fldChar w:fldCharType="end"/>
      </w:r>
      <w:r w:rsidRPr="00BB6E80">
        <w:t>.  She added that</w:t>
      </w:r>
      <w:r w:rsidR="001213A3" w:rsidRPr="00BB6E80">
        <w:t xml:space="preserve"> in addition to</w:t>
      </w:r>
      <w:r w:rsidR="00C57587" w:rsidRPr="00BB6E80">
        <w:t xml:space="preserve"> </w:t>
      </w:r>
      <w:r w:rsidRPr="00BB6E80">
        <w:t>the unremunerated exploitation of another</w:t>
      </w:r>
      <w:r w:rsidR="00C63C92">
        <w:t>'</w:t>
      </w:r>
      <w:r w:rsidRPr="00BB6E80">
        <w:t xml:space="preserve">s work, </w:t>
      </w:r>
      <w:r w:rsidR="001213A3" w:rsidRPr="00BB6E80">
        <w:t xml:space="preserve">the characteristic feature of </w:t>
      </w:r>
      <w:r w:rsidRPr="00BB6E80">
        <w:t xml:space="preserve">modern slavery was a </w:t>
      </w:r>
      <w:r w:rsidR="00C57587" w:rsidRPr="00BB6E80">
        <w:t xml:space="preserve">change in </w:t>
      </w:r>
      <w:r w:rsidRPr="00BB6E80">
        <w:t>the individual</w:t>
      </w:r>
      <w:r w:rsidR="00C63C92">
        <w:t>'</w:t>
      </w:r>
      <w:r w:rsidRPr="00BB6E80">
        <w:t xml:space="preserve">s state or condition, on account of the </w:t>
      </w:r>
      <w:r w:rsidR="00C57587" w:rsidRPr="00BB6E80">
        <w:t xml:space="preserve">level </w:t>
      </w:r>
      <w:r w:rsidRPr="00BB6E80">
        <w:t xml:space="preserve">of </w:t>
      </w:r>
      <w:r w:rsidR="00F41B1E" w:rsidRPr="00BB6E80">
        <w:t>constraint</w:t>
      </w:r>
      <w:r w:rsidRPr="00BB6E80">
        <w:t xml:space="preserve"> or </w:t>
      </w:r>
      <w:r w:rsidR="00F41B1E" w:rsidRPr="00BB6E80">
        <w:t>control</w:t>
      </w:r>
      <w:r w:rsidRPr="00BB6E80">
        <w:t xml:space="preserve"> to </w:t>
      </w:r>
      <w:r w:rsidR="00F41B1E" w:rsidRPr="00BB6E80">
        <w:t xml:space="preserve">which </w:t>
      </w:r>
      <w:r w:rsidRPr="00BB6E80">
        <w:t xml:space="preserve">his or her person, life, personal effects, right to come and go at will </w:t>
      </w:r>
      <w:r w:rsidR="00F41B1E" w:rsidRPr="00BB6E80">
        <w:t xml:space="preserve">or to </w:t>
      </w:r>
      <w:r w:rsidRPr="00BB6E80">
        <w:t>take decisions</w:t>
      </w:r>
      <w:r w:rsidR="00F41B1E" w:rsidRPr="00BB6E80">
        <w:t xml:space="preserve"> was subjected</w:t>
      </w:r>
      <w:r w:rsidRPr="00BB6E80">
        <w:t>.</w:t>
      </w:r>
    </w:p>
    <w:p w:rsidR="007A2F6F" w:rsidRPr="00BB6E80" w:rsidRDefault="007A2F6F" w:rsidP="00BB6E80">
      <w:pPr>
        <w:pStyle w:val="JuPara"/>
      </w:pPr>
      <w:r w:rsidRPr="00BB6E80">
        <w:t xml:space="preserve">She </w:t>
      </w:r>
      <w:r w:rsidR="00206284" w:rsidRPr="00BB6E80">
        <w:t xml:space="preserve">explained that, although she </w:t>
      </w:r>
      <w:r w:rsidRPr="00BB6E80">
        <w:t xml:space="preserve">had not described her situation as “forced labour” </w:t>
      </w:r>
      <w:r w:rsidR="00206284" w:rsidRPr="00BB6E80">
        <w:t xml:space="preserve">in </w:t>
      </w:r>
      <w:r w:rsidRPr="00BB6E80">
        <w:t xml:space="preserve">the proceedings before the </w:t>
      </w:r>
      <w:r w:rsidR="00C57587" w:rsidRPr="00BB6E80">
        <w:t>Versailles C</w:t>
      </w:r>
      <w:r w:rsidRPr="00BB6E80">
        <w:t>ourt</w:t>
      </w:r>
      <w:r w:rsidR="00563C11">
        <w:t xml:space="preserve"> of Appeal</w:t>
      </w:r>
      <w:r w:rsidR="00206284" w:rsidRPr="00BB6E80">
        <w:t>,</w:t>
      </w:r>
      <w:r w:rsidRPr="00BB6E80">
        <w:t xml:space="preserve"> </w:t>
      </w:r>
      <w:r w:rsidR="00206284" w:rsidRPr="00BB6E80">
        <w:t>the civil party had claimed</w:t>
      </w:r>
      <w:r w:rsidRPr="00BB6E80">
        <w:t xml:space="preserve"> in </w:t>
      </w:r>
      <w:r w:rsidR="00C57587" w:rsidRPr="00BB6E80">
        <w:t xml:space="preserve">its </w:t>
      </w:r>
      <w:r w:rsidRPr="00BB6E80">
        <w:t xml:space="preserve">submissions that “the exploitation to which Ms Siliadin was subjected ... </w:t>
      </w:r>
      <w:r w:rsidR="00C57587" w:rsidRPr="00BB6E80">
        <w:t>had,</w:t>
      </w:r>
      <w:r w:rsidRPr="00BB6E80">
        <w:t xml:space="preserve"> at the very least</w:t>
      </w:r>
      <w:r w:rsidR="00C57587" w:rsidRPr="00BB6E80">
        <w:t>,</w:t>
      </w:r>
      <w:r w:rsidRPr="00BB6E80">
        <w:t xml:space="preserve"> the characteristics of </w:t>
      </w:r>
      <w:r w:rsidR="00C63C92">
        <w:t>'</w:t>
      </w:r>
      <w:r w:rsidRPr="00BB6E80">
        <w:t>forced labour</w:t>
      </w:r>
      <w:r w:rsidR="00C63C92">
        <w:t>'</w:t>
      </w:r>
      <w:r w:rsidRPr="00BB6E80">
        <w:t xml:space="preserve"> </w:t>
      </w:r>
      <w:r w:rsidR="0076696D">
        <w:t xml:space="preserve">within the meaning of Article 4 </w:t>
      </w:r>
      <w:r w:rsidRPr="00BB6E80">
        <w:t>§ 2 of the Convention ...; in reality, she was a domestic slave who had been recruited in Africa”.</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97</w:t>
      </w:r>
      <w:r w:rsidRPr="00BB6E80">
        <w:fldChar w:fldCharType="end"/>
      </w:r>
      <w:r w:rsidRPr="00BB6E80">
        <w:t xml:space="preserve">.  As to the definition of “forced or </w:t>
      </w:r>
      <w:r w:rsidR="00563C11">
        <w:t>compulsory</w:t>
      </w:r>
      <w:r w:rsidR="00563C11" w:rsidRPr="00BB6E80">
        <w:t xml:space="preserve"> </w:t>
      </w:r>
      <w:r w:rsidRPr="00BB6E80">
        <w:t>labour”, the applicant drew attention to the case-law of the Commission and the Court</w:t>
      </w:r>
      <w:r w:rsidR="00C57587" w:rsidRPr="00BB6E80">
        <w:t>,</w:t>
      </w:r>
      <w:r w:rsidRPr="00BB6E80">
        <w:t xml:space="preserve"> and emphasised that developments in international law </w:t>
      </w:r>
      <w:r w:rsidR="00C57587" w:rsidRPr="00BB6E80">
        <w:t xml:space="preserve">favoured </w:t>
      </w:r>
      <w:r w:rsidRPr="00BB6E80">
        <w:t>granting special protection to children.</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98</w:t>
      </w:r>
      <w:r w:rsidRPr="00BB6E80">
        <w:fldChar w:fldCharType="end"/>
      </w:r>
      <w:r w:rsidRPr="00BB6E80">
        <w:t xml:space="preserve">.  She noted that French criminal law did not contain specific </w:t>
      </w:r>
      <w:r w:rsidR="00CA581E" w:rsidRPr="00BB6E80">
        <w:t xml:space="preserve">offences </w:t>
      </w:r>
      <w:r w:rsidR="003802C0" w:rsidRPr="00BB6E80">
        <w:t xml:space="preserve">of </w:t>
      </w:r>
      <w:r w:rsidRPr="00BB6E80">
        <w:t xml:space="preserve">slavery, servitude or forced or compulsory labour, </w:t>
      </w:r>
      <w:r w:rsidR="00CA581E" w:rsidRPr="00BB6E80">
        <w:t xml:space="preserve">still </w:t>
      </w:r>
      <w:r w:rsidRPr="00BB6E80">
        <w:t xml:space="preserve">less a </w:t>
      </w:r>
      <w:r w:rsidR="003802C0" w:rsidRPr="00BB6E80">
        <w:t xml:space="preserve">definition of those three concepts that was </w:t>
      </w:r>
      <w:r w:rsidRPr="00BB6E80">
        <w:t xml:space="preserve">sufficiently specific and flexible to </w:t>
      </w:r>
      <w:r w:rsidR="00CA581E" w:rsidRPr="00BB6E80">
        <w:t xml:space="preserve">be adapted </w:t>
      </w:r>
      <w:r w:rsidR="003802C0" w:rsidRPr="00BB6E80">
        <w:t xml:space="preserve">to </w:t>
      </w:r>
      <w:r w:rsidRPr="00BB6E80">
        <w:t>the</w:t>
      </w:r>
      <w:r w:rsidR="003802C0" w:rsidRPr="00BB6E80">
        <w:t xml:space="preserve"> </w:t>
      </w:r>
      <w:r w:rsidRPr="00BB6E80">
        <w:t>forms</w:t>
      </w:r>
      <w:r w:rsidR="003802C0" w:rsidRPr="00BB6E80">
        <w:t xml:space="preserve"> those </w:t>
      </w:r>
      <w:r w:rsidR="00CA581E" w:rsidRPr="00BB6E80">
        <w:t>practices now took</w:t>
      </w:r>
      <w:r w:rsidRPr="00BB6E80">
        <w:t xml:space="preserve">. In addition, prior to </w:t>
      </w:r>
      <w:r w:rsidR="003802C0" w:rsidRPr="00BB6E80">
        <w:t xml:space="preserve">the </w:t>
      </w:r>
      <w:r w:rsidRPr="00BB6E80">
        <w:t xml:space="preserve">enactment of the </w:t>
      </w:r>
      <w:r w:rsidR="00563C11">
        <w:t>L</w:t>
      </w:r>
      <w:r w:rsidRPr="00BB6E80">
        <w:t xml:space="preserve">aw of 18 March 2003, there had been no </w:t>
      </w:r>
      <w:r w:rsidR="00CA581E" w:rsidRPr="00BB6E80">
        <w:t xml:space="preserve">legislation that </w:t>
      </w:r>
      <w:r w:rsidRPr="00BB6E80">
        <w:t xml:space="preserve">directly </w:t>
      </w:r>
      <w:r w:rsidR="00CA581E" w:rsidRPr="00BB6E80">
        <w:t xml:space="preserve">made it an offence to </w:t>
      </w:r>
      <w:r w:rsidRPr="00BB6E80">
        <w:t>traffic in human beings.</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99</w:t>
      </w:r>
      <w:r w:rsidRPr="00BB6E80">
        <w:fldChar w:fldCharType="end"/>
      </w:r>
      <w:r w:rsidRPr="00BB6E80">
        <w:t xml:space="preserve">.  Accordingly, the offences to which she </w:t>
      </w:r>
      <w:r w:rsidR="003802C0" w:rsidRPr="00BB6E80">
        <w:t xml:space="preserve">had been </w:t>
      </w:r>
      <w:r w:rsidRPr="00BB6E80">
        <w:t xml:space="preserve">subjected fell within the provisions of Articles 225-13 </w:t>
      </w:r>
      <w:r w:rsidR="003802C0" w:rsidRPr="00BB6E80">
        <w:t xml:space="preserve">and </w:t>
      </w:r>
      <w:r w:rsidRPr="00BB6E80">
        <w:t>225-14 of the Criminal Code as worded at the material time</w:t>
      </w:r>
      <w:r w:rsidR="003802C0" w:rsidRPr="00BB6E80">
        <w:t xml:space="preserve">. These were </w:t>
      </w:r>
      <w:r w:rsidRPr="00BB6E80">
        <w:t>non-specific texts of a more general nature</w:t>
      </w:r>
      <w:r w:rsidR="003802C0" w:rsidRPr="00BB6E80">
        <w:t>,</w:t>
      </w:r>
      <w:r w:rsidRPr="00BB6E80">
        <w:t xml:space="preserve"> which </w:t>
      </w:r>
      <w:r w:rsidR="003B5B61" w:rsidRPr="00BB6E80">
        <w:t xml:space="preserve">both required </w:t>
      </w:r>
      <w:r w:rsidRPr="00BB6E80">
        <w:t xml:space="preserve">that the victim </w:t>
      </w:r>
      <w:r w:rsidR="003B5B61" w:rsidRPr="00BB6E80">
        <w:t xml:space="preserve">be </w:t>
      </w:r>
      <w:r w:rsidRPr="00BB6E80">
        <w:t xml:space="preserve">in a </w:t>
      </w:r>
      <w:r w:rsidR="003B5B61" w:rsidRPr="00BB6E80">
        <w:t xml:space="preserve">state </w:t>
      </w:r>
      <w:r w:rsidRPr="00BB6E80">
        <w:t>of vulnerability or dependence</w:t>
      </w:r>
      <w:r w:rsidR="0035041C" w:rsidRPr="00BB6E80">
        <w:t>. Those</w:t>
      </w:r>
      <w:r w:rsidRPr="00BB6E80">
        <w:t xml:space="preserve"> concepts were as vague as that of </w:t>
      </w:r>
      <w:r w:rsidR="003B5B61" w:rsidRPr="00BB6E80">
        <w:t xml:space="preserve">the </w:t>
      </w:r>
      <w:r w:rsidR="0035041C" w:rsidRPr="00BB6E80">
        <w:t>offender</w:t>
      </w:r>
      <w:r w:rsidR="00C63C92">
        <w:t>'</w:t>
      </w:r>
      <w:r w:rsidR="0035041C" w:rsidRPr="00BB6E80">
        <w:t xml:space="preserve">s </w:t>
      </w:r>
      <w:r w:rsidR="003F764E">
        <w:t>“</w:t>
      </w:r>
      <w:r w:rsidR="003B5B61" w:rsidRPr="00BB6E80">
        <w:t>taking advantage</w:t>
      </w:r>
      <w:r w:rsidR="003F764E">
        <w:t>”</w:t>
      </w:r>
      <w:r w:rsidRPr="00BB6E80">
        <w:t xml:space="preserve">, which </w:t>
      </w:r>
      <w:r w:rsidR="0035041C" w:rsidRPr="00BB6E80">
        <w:t xml:space="preserve">was </w:t>
      </w:r>
      <w:r w:rsidRPr="00BB6E80">
        <w:t xml:space="preserve">also </w:t>
      </w:r>
      <w:r w:rsidR="0035041C" w:rsidRPr="00BB6E80">
        <w:t>part of the definition of the</w:t>
      </w:r>
      <w:r w:rsidRPr="00BB6E80">
        <w:t xml:space="preserve"> two offences. In this connection, she emphasised that </w:t>
      </w:r>
      <w:r w:rsidR="00381475" w:rsidRPr="00BB6E80">
        <w:t xml:space="preserve">both </w:t>
      </w:r>
      <w:r w:rsidR="00A94AB3" w:rsidRPr="00BB6E80">
        <w:t xml:space="preserve">legal </w:t>
      </w:r>
      <w:r w:rsidR="0035041C" w:rsidRPr="00BB6E80">
        <w:t xml:space="preserve">commentators </w:t>
      </w:r>
      <w:r w:rsidR="00A94AB3" w:rsidRPr="00BB6E80">
        <w:t xml:space="preserve">and </w:t>
      </w:r>
      <w:r w:rsidRPr="00BB6E80">
        <w:t>the National Assembly</w:t>
      </w:r>
      <w:r w:rsidR="00C63C92">
        <w:t>'</w:t>
      </w:r>
      <w:r w:rsidRPr="00BB6E80">
        <w:t xml:space="preserve">s taskforce on </w:t>
      </w:r>
      <w:r w:rsidR="00381475" w:rsidRPr="00BB6E80">
        <w:t xml:space="preserve">the various </w:t>
      </w:r>
      <w:r w:rsidRPr="00BB6E80">
        <w:t>forms of modern slavery had highlighted the lack of legal criteria enabl</w:t>
      </w:r>
      <w:r w:rsidR="00381475" w:rsidRPr="00BB6E80">
        <w:t xml:space="preserve">ing the </w:t>
      </w:r>
      <w:r w:rsidRPr="00BB6E80">
        <w:t>court</w:t>
      </w:r>
      <w:r w:rsidR="00381475" w:rsidRPr="00BB6E80">
        <w:t>s</w:t>
      </w:r>
      <w:r w:rsidRPr="00BB6E80">
        <w:t xml:space="preserve"> to determine whether </w:t>
      </w:r>
      <w:r w:rsidR="0035041C" w:rsidRPr="00BB6E80">
        <w:t>such a situation obtained</w:t>
      </w:r>
      <w:r w:rsidRPr="00BB6E80">
        <w:t xml:space="preserve">, which had led </w:t>
      </w:r>
      <w:r w:rsidR="00381475" w:rsidRPr="00BB6E80">
        <w:t xml:space="preserve">in practice </w:t>
      </w:r>
      <w:r w:rsidRPr="00BB6E80">
        <w:t xml:space="preserve">to </w:t>
      </w:r>
      <w:r w:rsidR="0035041C" w:rsidRPr="00BB6E80">
        <w:t xml:space="preserve">unduly </w:t>
      </w:r>
      <w:r w:rsidRPr="00BB6E80">
        <w:t>restrictive interpretations.</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100</w:t>
      </w:r>
      <w:r w:rsidRPr="00BB6E80">
        <w:fldChar w:fldCharType="end"/>
      </w:r>
      <w:r w:rsidRPr="00BB6E80">
        <w:t xml:space="preserve">.  Thus, Article 225-13 of the Criminal Code made it an offence to </w:t>
      </w:r>
      <w:r w:rsidR="00381475" w:rsidRPr="00BB6E80">
        <w:t xml:space="preserve">obtain </w:t>
      </w:r>
      <w:r w:rsidRPr="00BB6E80">
        <w:t>another person</w:t>
      </w:r>
      <w:r w:rsidR="00C63C92">
        <w:t>'</w:t>
      </w:r>
      <w:r w:rsidRPr="00BB6E80">
        <w:t>s labour</w:t>
      </w:r>
      <w:r w:rsidR="00381475" w:rsidRPr="00BB6E80">
        <w:t xml:space="preserve"> by taking advantage of him or her. </w:t>
      </w:r>
      <w:r w:rsidRPr="00BB6E80">
        <w:t>In assess</w:t>
      </w:r>
      <w:r w:rsidR="007E54B6" w:rsidRPr="00BB6E80">
        <w:t>ing whether</w:t>
      </w:r>
      <w:r w:rsidRPr="00BB6E80">
        <w:t xml:space="preserve"> the victim</w:t>
      </w:r>
      <w:r w:rsidR="007E54B6" w:rsidRPr="00BB6E80">
        <w:t xml:space="preserve"> wa</w:t>
      </w:r>
      <w:r w:rsidRPr="00BB6E80">
        <w:t>s vulnerab</w:t>
      </w:r>
      <w:r w:rsidR="007E54B6" w:rsidRPr="00BB6E80">
        <w:t>le</w:t>
      </w:r>
      <w:r w:rsidRPr="00BB6E80">
        <w:t xml:space="preserve"> or </w:t>
      </w:r>
      <w:r w:rsidR="007E54B6" w:rsidRPr="00BB6E80">
        <w:t xml:space="preserve">in a </w:t>
      </w:r>
      <w:r w:rsidRPr="00BB6E80">
        <w:t>state of dependence, the court</w:t>
      </w:r>
      <w:r w:rsidR="00381475" w:rsidRPr="00BB6E80">
        <w:t>s</w:t>
      </w:r>
      <w:r w:rsidRPr="00BB6E80">
        <w:t xml:space="preserve"> </w:t>
      </w:r>
      <w:r w:rsidR="007E54B6" w:rsidRPr="00BB6E80">
        <w:t xml:space="preserve">were entitled to </w:t>
      </w:r>
      <w:r w:rsidR="00381475" w:rsidRPr="00BB6E80">
        <w:t>take into account,</w:t>
      </w:r>
      <w:r w:rsidRPr="00BB6E80">
        <w:t xml:space="preserve"> among other circumstances, certain signs of </w:t>
      </w:r>
      <w:r w:rsidR="007E54B6" w:rsidRPr="00BB6E80">
        <w:t xml:space="preserve">constraint </w:t>
      </w:r>
      <w:r w:rsidRPr="00BB6E80">
        <w:t xml:space="preserve">or </w:t>
      </w:r>
      <w:r w:rsidR="007E54B6" w:rsidRPr="00BB6E80">
        <w:t xml:space="preserve">control </w:t>
      </w:r>
      <w:r w:rsidR="00381475" w:rsidRPr="00BB6E80">
        <w:t xml:space="preserve">of </w:t>
      </w:r>
      <w:r w:rsidRPr="00BB6E80">
        <w:t>the individual</w:t>
      </w:r>
      <w:r w:rsidR="007E54B6" w:rsidRPr="00BB6E80">
        <w:t>. However</w:t>
      </w:r>
      <w:r w:rsidRPr="00BB6E80">
        <w:t xml:space="preserve">, those were </w:t>
      </w:r>
      <w:r w:rsidR="007E54B6" w:rsidRPr="00BB6E80">
        <w:t xml:space="preserve">relevant </w:t>
      </w:r>
      <w:r w:rsidRPr="00BB6E80">
        <w:t xml:space="preserve">only </w:t>
      </w:r>
      <w:r w:rsidR="007E54B6" w:rsidRPr="00BB6E80">
        <w:t>as</w:t>
      </w:r>
      <w:r w:rsidR="00381475" w:rsidRPr="00BB6E80">
        <w:t xml:space="preserve"> </w:t>
      </w:r>
      <w:r w:rsidRPr="00BB6E80">
        <w:t xml:space="preserve">the prerequisites for </w:t>
      </w:r>
      <w:r w:rsidR="00381475" w:rsidRPr="00BB6E80">
        <w:t xml:space="preserve">a finding of </w:t>
      </w:r>
      <w:r w:rsidRPr="00BB6E80">
        <w:t>exploitation</w:t>
      </w:r>
      <w:r w:rsidR="00381475" w:rsidRPr="00BB6E80">
        <w:t>,</w:t>
      </w:r>
      <w:r w:rsidRPr="00BB6E80">
        <w:t xml:space="preserve"> not as constituent elements of the particular form of the offence </w:t>
      </w:r>
      <w:r w:rsidR="00381475" w:rsidRPr="00BB6E80">
        <w:t xml:space="preserve">that was </w:t>
      </w:r>
      <w:r w:rsidRPr="00BB6E80">
        <w:t xml:space="preserve">modern slavery. In addition, this article made no distinction between employers who took advantage of the </w:t>
      </w:r>
      <w:r w:rsidR="00381475" w:rsidRPr="00BB6E80">
        <w:t xml:space="preserve">illegal position </w:t>
      </w:r>
      <w:r w:rsidRPr="00BB6E80">
        <w:t xml:space="preserve">of immigrant workers who were already in </w:t>
      </w:r>
      <w:smartTag w:uri="urn:schemas-microsoft-com:office:smarttags" w:element="place">
        <w:smartTag w:uri="urn:schemas-microsoft-com:office:smarttags" w:element="country-region">
          <w:r w:rsidRPr="00BB6E80">
            <w:t>France</w:t>
          </w:r>
        </w:smartTag>
      </w:smartTag>
      <w:r w:rsidRPr="00BB6E80">
        <w:t xml:space="preserve"> and those who deliberately p</w:t>
      </w:r>
      <w:r w:rsidR="00381475" w:rsidRPr="00BB6E80">
        <w:t xml:space="preserve">laced </w:t>
      </w:r>
      <w:r w:rsidRPr="00BB6E80">
        <w:t xml:space="preserve">them in such a position by </w:t>
      </w:r>
      <w:r w:rsidR="00381475" w:rsidRPr="00BB6E80">
        <w:t>resorting</w:t>
      </w:r>
      <w:r w:rsidRPr="00BB6E80">
        <w:t xml:space="preserve"> to trafficking in human beings.</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101</w:t>
      </w:r>
      <w:r w:rsidRPr="00BB6E80">
        <w:fldChar w:fldCharType="end"/>
      </w:r>
      <w:r w:rsidRPr="00BB6E80">
        <w:t>.  She added that, contrary to Article 225-13, Article</w:t>
      </w:r>
      <w:r w:rsidR="0076696D">
        <w:t xml:space="preserve"> </w:t>
      </w:r>
      <w:r w:rsidRPr="00BB6E80">
        <w:t xml:space="preserve">225-14 </w:t>
      </w:r>
      <w:r w:rsidR="00650364" w:rsidRPr="00BB6E80">
        <w:t>required</w:t>
      </w:r>
      <w:r w:rsidRPr="00BB6E80">
        <w:t xml:space="preserve">, and </w:t>
      </w:r>
      <w:r w:rsidR="00650364" w:rsidRPr="00BB6E80">
        <w:t>continued to require</w:t>
      </w:r>
      <w:r w:rsidRPr="00BB6E80">
        <w:t xml:space="preserve">, </w:t>
      </w:r>
      <w:r w:rsidR="00650364" w:rsidRPr="00BB6E80">
        <w:t xml:space="preserve">an infringement of </w:t>
      </w:r>
      <w:r w:rsidR="005C067B" w:rsidRPr="00BB6E80">
        <w:t xml:space="preserve">human dignity </w:t>
      </w:r>
      <w:r w:rsidRPr="00BB6E80">
        <w:t xml:space="preserve">for </w:t>
      </w:r>
      <w:r w:rsidR="00650364" w:rsidRPr="00BB6E80">
        <w:t>the offence</w:t>
      </w:r>
      <w:r w:rsidRPr="00BB6E80">
        <w:t xml:space="preserve"> to be </w:t>
      </w:r>
      <w:r w:rsidR="00563C11">
        <w:t>established</w:t>
      </w:r>
      <w:r w:rsidR="005C067B" w:rsidRPr="00BB6E80">
        <w:t xml:space="preserve">. </w:t>
      </w:r>
      <w:r w:rsidR="00650364" w:rsidRPr="00BB6E80">
        <w:t xml:space="preserve">That </w:t>
      </w:r>
      <w:r w:rsidR="005C067B" w:rsidRPr="00BB6E80">
        <w:t xml:space="preserve">was </w:t>
      </w:r>
      <w:r w:rsidRPr="00BB6E80">
        <w:t xml:space="preserve">a particularly vague concept, </w:t>
      </w:r>
      <w:r w:rsidR="005C067B" w:rsidRPr="00BB6E80">
        <w:t xml:space="preserve">and </w:t>
      </w:r>
      <w:r w:rsidR="00650364" w:rsidRPr="00BB6E80">
        <w:t xml:space="preserve">one </w:t>
      </w:r>
      <w:r w:rsidR="005C067B" w:rsidRPr="00BB6E80">
        <w:t>s</w:t>
      </w:r>
      <w:r w:rsidRPr="00BB6E80">
        <w:t xml:space="preserve">ubject to random interpretation. </w:t>
      </w:r>
      <w:r w:rsidR="00650364" w:rsidRPr="00BB6E80">
        <w:t>It was for this reason that</w:t>
      </w:r>
      <w:r w:rsidRPr="00BB6E80">
        <w:t xml:space="preserve"> neither her working nor </w:t>
      </w:r>
      <w:r w:rsidR="005C067B" w:rsidRPr="00BB6E80">
        <w:t xml:space="preserve">living </w:t>
      </w:r>
      <w:r w:rsidRPr="00BB6E80">
        <w:t>conditions had been found by the court to be incompatible with human dignity.</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102</w:t>
      </w:r>
      <w:r w:rsidRPr="00BB6E80">
        <w:fldChar w:fldCharType="end"/>
      </w:r>
      <w:r w:rsidRPr="00BB6E80">
        <w:t xml:space="preserve">.  The applicant </w:t>
      </w:r>
      <w:r w:rsidR="00650364" w:rsidRPr="00BB6E80">
        <w:t xml:space="preserve">said in </w:t>
      </w:r>
      <w:r w:rsidRPr="00BB6E80">
        <w:t>conclu</w:t>
      </w:r>
      <w:r w:rsidR="00650364" w:rsidRPr="00BB6E80">
        <w:t>sion</w:t>
      </w:r>
      <w:r w:rsidRPr="00BB6E80">
        <w:t xml:space="preserve"> that the criminal-law provisions in force at the material time had not </w:t>
      </w:r>
      <w:r w:rsidR="005C067B" w:rsidRPr="00BB6E80">
        <w:t xml:space="preserve">afforded her adequate protection </w:t>
      </w:r>
      <w:r w:rsidRPr="00BB6E80">
        <w:t>from servitude or from forced or compulsory labour in their contemporary form</w:t>
      </w:r>
      <w:r w:rsidR="005C067B" w:rsidRPr="00BB6E80">
        <w:t>s</w:t>
      </w:r>
      <w:r w:rsidRPr="00BB6E80">
        <w:t xml:space="preserve">, which were contrary to Article 4 of the Convention. As to the fact that the criminal proceedings had resulted in </w:t>
      </w:r>
      <w:r w:rsidR="005C067B" w:rsidRPr="00BB6E80">
        <w:t>an</w:t>
      </w:r>
      <w:r w:rsidRPr="00BB6E80">
        <w:t xml:space="preserve"> award of compensation, she considered that this could not suffice to absolve the State of i</w:t>
      </w:r>
      <w:r w:rsidR="005C067B" w:rsidRPr="00BB6E80">
        <w:t>t</w:t>
      </w:r>
      <w:r w:rsidRPr="00BB6E80">
        <w:t>s obligation to establish a</w:t>
      </w:r>
      <w:r w:rsidR="004D0504" w:rsidRPr="00BB6E80">
        <w:t xml:space="preserve"> </w:t>
      </w:r>
      <w:r w:rsidRPr="00BB6E80">
        <w:t xml:space="preserve">criminal-law machinery which penalised effectively those </w:t>
      </w:r>
      <w:r w:rsidR="00650364" w:rsidRPr="00BB6E80">
        <w:t>guilty of</w:t>
      </w:r>
      <w:r w:rsidRPr="00BB6E80">
        <w:t xml:space="preserve"> such </w:t>
      </w:r>
      <w:r w:rsidR="00650364" w:rsidRPr="00BB6E80">
        <w:t xml:space="preserve">conduct </w:t>
      </w:r>
      <w:r w:rsidRPr="00BB6E80">
        <w:t>and deterred others.</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103</w:t>
      </w:r>
      <w:r w:rsidRPr="00BB6E80">
        <w:fldChar w:fldCharType="end"/>
      </w:r>
      <w:r w:rsidRPr="00BB6E80">
        <w:t xml:space="preserve">.  With regard to </w:t>
      </w:r>
      <w:r w:rsidR="009A7A93" w:rsidRPr="00BB6E80">
        <w:t>the alleged</w:t>
      </w:r>
      <w:r w:rsidRPr="00BB6E80">
        <w:t xml:space="preserve"> violation of Article 4, the Government first observed that the Convention </w:t>
      </w:r>
      <w:r w:rsidR="009A7A93" w:rsidRPr="00BB6E80">
        <w:t xml:space="preserve">did </w:t>
      </w:r>
      <w:r w:rsidRPr="00BB6E80">
        <w:t>not define the term “servitude”. They submitted that, according to the ca</w:t>
      </w:r>
      <w:r w:rsidR="005C067B" w:rsidRPr="00BB6E80">
        <w:t>se</w:t>
      </w:r>
      <w:r w:rsidRPr="00BB6E80">
        <w:t xml:space="preserve">-law, “servitude” </w:t>
      </w:r>
      <w:r w:rsidR="009A7A93" w:rsidRPr="00BB6E80">
        <w:t xml:space="preserve">was </w:t>
      </w:r>
      <w:r w:rsidRPr="00BB6E80">
        <w:t xml:space="preserve">close to “slavery”, which </w:t>
      </w:r>
      <w:r w:rsidR="009A7A93" w:rsidRPr="00BB6E80">
        <w:t xml:space="preserve">was </w:t>
      </w:r>
      <w:r w:rsidR="00C34A96" w:rsidRPr="00BB6E80">
        <w:t xml:space="preserve">at </w:t>
      </w:r>
      <w:r w:rsidRPr="00BB6E80">
        <w:t xml:space="preserve">the extreme </w:t>
      </w:r>
      <w:r w:rsidR="00C34A96" w:rsidRPr="00BB6E80">
        <w:t>end of th</w:t>
      </w:r>
      <w:r w:rsidR="009A7A93" w:rsidRPr="00BB6E80">
        <w:t>e scale</w:t>
      </w:r>
      <w:r w:rsidR="00634C10" w:rsidRPr="00BB6E80">
        <w:t>.</w:t>
      </w:r>
      <w:r w:rsidRPr="00BB6E80">
        <w:t xml:space="preserve"> </w:t>
      </w:r>
      <w:r w:rsidR="00634C10" w:rsidRPr="00BB6E80">
        <w:t>However</w:t>
      </w:r>
      <w:r w:rsidRPr="00BB6E80">
        <w:t xml:space="preserve">, </w:t>
      </w:r>
      <w:r w:rsidR="00C34A96" w:rsidRPr="00BB6E80">
        <w:t xml:space="preserve">servitude </w:t>
      </w:r>
      <w:r w:rsidRPr="00BB6E80">
        <w:t>reflect</w:t>
      </w:r>
      <w:r w:rsidR="00C34A96" w:rsidRPr="00BB6E80">
        <w:t xml:space="preserve">ed </w:t>
      </w:r>
      <w:r w:rsidRPr="00BB6E80">
        <w:t>a situation of exploitation which d</w:t>
      </w:r>
      <w:r w:rsidR="00C34A96" w:rsidRPr="00BB6E80">
        <w:t xml:space="preserve">id </w:t>
      </w:r>
      <w:r w:rsidRPr="00BB6E80">
        <w:t xml:space="preserve">not require that the victim </w:t>
      </w:r>
      <w:r w:rsidR="00C34A96" w:rsidRPr="00BB6E80">
        <w:t xml:space="preserve">be </w:t>
      </w:r>
      <w:r w:rsidRPr="00BB6E80">
        <w:t>objectified to the point of becoming merely</w:t>
      </w:r>
      <w:r w:rsidR="00C34A96" w:rsidRPr="00BB6E80">
        <w:t xml:space="preserve"> another</w:t>
      </w:r>
      <w:r w:rsidR="003F764E">
        <w:t xml:space="preserve"> person</w:t>
      </w:r>
      <w:r w:rsidR="00C63C92">
        <w:t>'</w:t>
      </w:r>
      <w:r w:rsidR="00C34A96" w:rsidRPr="00BB6E80">
        <w:t>s property</w:t>
      </w:r>
      <w:r w:rsidRPr="00BB6E80">
        <w:t>.</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104</w:t>
      </w:r>
      <w:r w:rsidRPr="00BB6E80">
        <w:fldChar w:fldCharType="end"/>
      </w:r>
      <w:r w:rsidRPr="00BB6E80">
        <w:t xml:space="preserve">.  As to the difference between “servitude” and “forced or compulsory labour”, they concluded from the case-law of the Commission and the Court that servitude </w:t>
      </w:r>
      <w:r w:rsidR="00C34A96" w:rsidRPr="00BB6E80">
        <w:t>appeared t</w:t>
      </w:r>
      <w:r w:rsidRPr="00BB6E80">
        <w:t>o characterise situations in which denial of the individual</w:t>
      </w:r>
      <w:r w:rsidR="00C63C92">
        <w:t>'</w:t>
      </w:r>
      <w:r w:rsidRPr="00BB6E80">
        <w:t>s freedom was not limited to the compulsory provision of labour, but also extend</w:t>
      </w:r>
      <w:r w:rsidR="00C34A96" w:rsidRPr="00BB6E80">
        <w:t>ed</w:t>
      </w:r>
      <w:r w:rsidRPr="00BB6E80">
        <w:t xml:space="preserve"> to his or her living conditions, </w:t>
      </w:r>
      <w:r w:rsidR="00C8619D" w:rsidRPr="00BB6E80">
        <w:t xml:space="preserve">and that there was </w:t>
      </w:r>
      <w:r w:rsidRPr="00BB6E80">
        <w:t xml:space="preserve">no </w:t>
      </w:r>
      <w:r w:rsidR="00C8619D" w:rsidRPr="00BB6E80">
        <w:t xml:space="preserve">potential for </w:t>
      </w:r>
      <w:r w:rsidRPr="00BB6E80">
        <w:t xml:space="preserve">improvement, an element which </w:t>
      </w:r>
      <w:r w:rsidR="00C34A96" w:rsidRPr="00BB6E80">
        <w:t xml:space="preserve">was absent from </w:t>
      </w:r>
      <w:r w:rsidRPr="00BB6E80">
        <w:t>the concept of “forced or compulsory labour”.</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105</w:t>
      </w:r>
      <w:r w:rsidRPr="00BB6E80">
        <w:fldChar w:fldCharType="end"/>
      </w:r>
      <w:r w:rsidRPr="00BB6E80">
        <w:t>.  With regard to the difference between “forced labour” and “compulsory labour”, the Government noted that, while the case-law</w:t>
      </w:r>
      <w:r w:rsidR="00C63C92">
        <w:t>'</w:t>
      </w:r>
      <w:r w:rsidRPr="00BB6E80">
        <w:t xml:space="preserve">s definition of “forced labour” as </w:t>
      </w:r>
      <w:r w:rsidR="00634C10" w:rsidRPr="00BB6E80">
        <w:t xml:space="preserve">labour </w:t>
      </w:r>
      <w:r w:rsidR="00C8619D" w:rsidRPr="00BB6E80">
        <w:t xml:space="preserve">performed </w:t>
      </w:r>
      <w:r w:rsidRPr="00BB6E80">
        <w:t xml:space="preserve">under the influence of “physical or psychological force” seemed relatively clear, the situation was less so </w:t>
      </w:r>
      <w:r w:rsidR="00C8619D" w:rsidRPr="00BB6E80">
        <w:t xml:space="preserve">with regard to </w:t>
      </w:r>
      <w:r w:rsidRPr="00BB6E80">
        <w:t>“compulsory labour”.</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106</w:t>
      </w:r>
      <w:r w:rsidRPr="00BB6E80">
        <w:fldChar w:fldCharType="end"/>
      </w:r>
      <w:r w:rsidRPr="00BB6E80">
        <w:t>.  The Government did not deny that the applicant</w:t>
      </w:r>
      <w:r w:rsidR="00C63C92">
        <w:t>'</w:t>
      </w:r>
      <w:r w:rsidRPr="00BB6E80">
        <w:t xml:space="preserve">s situation </w:t>
      </w:r>
      <w:r w:rsidR="00C8619D" w:rsidRPr="00BB6E80">
        <w:t xml:space="preserve">fell </w:t>
      </w:r>
      <w:r w:rsidRPr="00BB6E80">
        <w:t xml:space="preserve">within Article 4 of the Convention and emphasised that she herself had specifically described her situation as “forced labour” within the meaning of </w:t>
      </w:r>
      <w:r w:rsidR="00563C11">
        <w:t>that provision</w:t>
      </w:r>
      <w:r w:rsidRPr="00BB6E80">
        <w:t>.</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107</w:t>
      </w:r>
      <w:r w:rsidRPr="00BB6E80">
        <w:fldChar w:fldCharType="end"/>
      </w:r>
      <w:r w:rsidRPr="00BB6E80">
        <w:t xml:space="preserve">.  However, they </w:t>
      </w:r>
      <w:r w:rsidR="00634C10" w:rsidRPr="00BB6E80">
        <w:t xml:space="preserve">submitted </w:t>
      </w:r>
      <w:r w:rsidRPr="00BB6E80">
        <w:t xml:space="preserve">that the domestic judicial authorities had </w:t>
      </w:r>
      <w:r w:rsidR="0085722A" w:rsidRPr="00BB6E80">
        <w:t>u</w:t>
      </w:r>
      <w:r w:rsidR="00634C10" w:rsidRPr="00BB6E80">
        <w:t xml:space="preserve">ndisputedly </w:t>
      </w:r>
      <w:r w:rsidRPr="00BB6E80">
        <w:t xml:space="preserve">remedied the violation of the Convention by ruling that the elements constituting the offence set out in Article 225-13 of the Criminal Code had been </w:t>
      </w:r>
      <w:r w:rsidR="00563C11">
        <w:t>established</w:t>
      </w:r>
      <w:r w:rsidRPr="00BB6E80">
        <w:t>.</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108</w:t>
      </w:r>
      <w:r w:rsidRPr="00BB6E80">
        <w:fldChar w:fldCharType="end"/>
      </w:r>
      <w:r w:rsidRPr="00BB6E80">
        <w:t>.  Finally, the Government pointed o</w:t>
      </w:r>
      <w:r w:rsidR="00802328">
        <w:t>ut that the wording of Articles </w:t>
      </w:r>
      <w:r w:rsidRPr="00BB6E80">
        <w:t xml:space="preserve">225-13 and 225-14 of the Criminal Code made it possible to combat all </w:t>
      </w:r>
      <w:r w:rsidR="00B03D5B" w:rsidRPr="00BB6E80">
        <w:t xml:space="preserve">forms of </w:t>
      </w:r>
      <w:r w:rsidRPr="00BB6E80">
        <w:t xml:space="preserve">exploitation of an individual through </w:t>
      </w:r>
      <w:r w:rsidR="00B03D5B" w:rsidRPr="00BB6E80">
        <w:t xml:space="preserve">labour </w:t>
      </w:r>
      <w:r w:rsidRPr="00BB6E80">
        <w:t>f</w:t>
      </w:r>
      <w:r w:rsidR="00634C10" w:rsidRPr="00BB6E80">
        <w:t>a</w:t>
      </w:r>
      <w:r w:rsidRPr="00BB6E80">
        <w:t>ll</w:t>
      </w:r>
      <w:r w:rsidR="00634C10" w:rsidRPr="00BB6E80">
        <w:t>ing</w:t>
      </w:r>
      <w:r w:rsidRPr="00BB6E80">
        <w:t xml:space="preserve"> </w:t>
      </w:r>
      <w:r w:rsidR="00B03D5B" w:rsidRPr="00BB6E80">
        <w:t xml:space="preserve">within </w:t>
      </w:r>
      <w:r w:rsidRPr="00BB6E80">
        <w:t>Article 4 of the Convention.</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109</w:t>
      </w:r>
      <w:r w:rsidRPr="00BB6E80">
        <w:fldChar w:fldCharType="end"/>
      </w:r>
      <w:r w:rsidRPr="00BB6E80">
        <w:t xml:space="preserve">.  The Court notes that the applicant arrived in </w:t>
      </w:r>
      <w:smartTag w:uri="urn:schemas-microsoft-com:office:smarttags" w:element="country-region">
        <w:r w:rsidRPr="00BB6E80">
          <w:t>Fran</w:t>
        </w:r>
        <w:r w:rsidR="00802328">
          <w:t>ce</w:t>
        </w:r>
      </w:smartTag>
      <w:r w:rsidR="00802328">
        <w:t xml:space="preserve"> from </w:t>
      </w:r>
      <w:smartTag w:uri="urn:schemas-microsoft-com:office:smarttags" w:element="place">
        <w:smartTag w:uri="urn:schemas-microsoft-com:office:smarttags" w:element="country-region">
          <w:r w:rsidR="00802328">
            <w:t>Togo</w:t>
          </w:r>
        </w:smartTag>
      </w:smartTag>
      <w:r w:rsidR="00802328">
        <w:t xml:space="preserve"> at the age of 15 years and 7</w:t>
      </w:r>
      <w:r w:rsidRPr="00BB6E80">
        <w:t xml:space="preserve"> months with a</w:t>
      </w:r>
      <w:r w:rsidR="00634C10" w:rsidRPr="00BB6E80">
        <w:t xml:space="preserve"> perso</w:t>
      </w:r>
      <w:r w:rsidRPr="00BB6E80">
        <w:t>n who had agree</w:t>
      </w:r>
      <w:r w:rsidR="00634C10" w:rsidRPr="00BB6E80">
        <w:t>d</w:t>
      </w:r>
      <w:r w:rsidRPr="00BB6E80">
        <w:t xml:space="preserve"> with her father that she would work until her air ticket had been reimbursed, that her </w:t>
      </w:r>
      <w:r w:rsidR="00634C10" w:rsidRPr="00BB6E80">
        <w:t>immigration status</w:t>
      </w:r>
      <w:r w:rsidRPr="00BB6E80">
        <w:t xml:space="preserve"> would be regularised and that she would be sent to school.</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110</w:t>
      </w:r>
      <w:r w:rsidRPr="00BB6E80">
        <w:fldChar w:fldCharType="end"/>
      </w:r>
      <w:r w:rsidRPr="00BB6E80">
        <w:t xml:space="preserve">.  In reality, the applicant worked for this person for a few months before being “lent” to Mr and Mrs B. It </w:t>
      </w:r>
      <w:r w:rsidR="00756A21" w:rsidRPr="00BB6E80">
        <w:t xml:space="preserve">appears from the evidence </w:t>
      </w:r>
      <w:r w:rsidRPr="00BB6E80">
        <w:t>that she worked in their</w:t>
      </w:r>
      <w:r w:rsidR="00802328">
        <w:t xml:space="preserve"> house without respite for approximately</w:t>
      </w:r>
      <w:r w:rsidRPr="00BB6E80">
        <w:t xml:space="preserve"> fifteen hours per day, with no day off, for several years, without ever receiving wages</w:t>
      </w:r>
      <w:r w:rsidR="000436ED" w:rsidRPr="00BB6E80">
        <w:t xml:space="preserve"> or</w:t>
      </w:r>
      <w:r w:rsidRPr="00BB6E80">
        <w:t xml:space="preserve"> being </w:t>
      </w:r>
      <w:r w:rsidR="000436ED" w:rsidRPr="00BB6E80">
        <w:t>sent to school</w:t>
      </w:r>
      <w:r w:rsidRPr="00BB6E80">
        <w:t xml:space="preserve">, without identity papers and without her </w:t>
      </w:r>
      <w:r w:rsidR="00756A21" w:rsidRPr="00BB6E80">
        <w:t xml:space="preserve">immigration status </w:t>
      </w:r>
      <w:r w:rsidRPr="00BB6E80">
        <w:t>being regularised. She was accommodated in their home and slept in the children</w:t>
      </w:r>
      <w:r w:rsidR="00C63C92">
        <w:t>'</w:t>
      </w:r>
      <w:r w:rsidRPr="00BB6E80">
        <w:t xml:space="preserve">s </w:t>
      </w:r>
      <w:r w:rsidR="000436ED" w:rsidRPr="00BB6E80">
        <w:t>bed</w:t>
      </w:r>
      <w:r w:rsidRPr="00BB6E80">
        <w:t>room.</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111</w:t>
      </w:r>
      <w:r w:rsidRPr="00BB6E80">
        <w:fldChar w:fldCharType="end"/>
      </w:r>
      <w:r w:rsidRPr="00BB6E80">
        <w:t>.  The Court also note</w:t>
      </w:r>
      <w:r w:rsidR="00756A21" w:rsidRPr="00BB6E80">
        <w:t>s</w:t>
      </w:r>
      <w:r w:rsidRPr="00BB6E80">
        <w:t xml:space="preserve"> that, in addition to the Convention, numerous international conventions ha</w:t>
      </w:r>
      <w:r w:rsidR="00756A21" w:rsidRPr="00BB6E80">
        <w:t>ve</w:t>
      </w:r>
      <w:r w:rsidRPr="00BB6E80">
        <w:t xml:space="preserve"> as their </w:t>
      </w:r>
      <w:r w:rsidR="00756A21" w:rsidRPr="00BB6E80">
        <w:t xml:space="preserve">objective </w:t>
      </w:r>
      <w:r w:rsidRPr="00BB6E80">
        <w:t>the protection of human beings from slavery, servitude and forced or compulsory labour (see “Relevant law”</w:t>
      </w:r>
      <w:r w:rsidR="003F764E">
        <w:t xml:space="preserve"> above</w:t>
      </w:r>
      <w:r w:rsidRPr="00BB6E80">
        <w:t xml:space="preserve">). As the Parliamentary Assembly of the Council of Europe has pointed out, although slavery was officially abolished more than 150 years ago, “domestic slavery” persists in </w:t>
      </w:r>
      <w:smartTag w:uri="urn:schemas-microsoft-com:office:smarttags" w:element="place">
        <w:r w:rsidRPr="00BB6E80">
          <w:t>Europe</w:t>
        </w:r>
      </w:smartTag>
      <w:r w:rsidRPr="00BB6E80">
        <w:t xml:space="preserve"> and concerns thousands of people, the majority of whom are women.</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112</w:t>
      </w:r>
      <w:r w:rsidRPr="00BB6E80">
        <w:fldChar w:fldCharType="end"/>
      </w:r>
      <w:r w:rsidRPr="00BB6E80">
        <w:t xml:space="preserve">.  The Court </w:t>
      </w:r>
      <w:r w:rsidR="000436ED" w:rsidRPr="00BB6E80">
        <w:t>reiterate</w:t>
      </w:r>
      <w:r w:rsidR="00802328">
        <w:t>s</w:t>
      </w:r>
      <w:r w:rsidR="000436ED" w:rsidRPr="00BB6E80">
        <w:t xml:space="preserve"> </w:t>
      </w:r>
      <w:r w:rsidRPr="00BB6E80">
        <w:t>that Article 4 enshrines one of the fundamental values of democratic societies. Unlike most of the substantive clauses of the Convention and of Protocols Nos. 1 and 4, Article 4 makes no provision for exceptions and no derogation from it is permissible under Article 15 § 2 even in the event of a public emergency threatening the life of the nation (see, with regard to Article 3</w:t>
      </w:r>
      <w:r w:rsidR="00802328">
        <w:t xml:space="preserve">, </w:t>
      </w:r>
      <w:r w:rsidR="00802328" w:rsidRPr="00802328">
        <w:rPr>
          <w:i/>
        </w:rPr>
        <w:t xml:space="preserve">Ireland v. </w:t>
      </w:r>
      <w:r w:rsidRPr="00802328">
        <w:rPr>
          <w:i/>
        </w:rPr>
        <w:t xml:space="preserve">the United </w:t>
      </w:r>
      <w:r w:rsidR="00756A21" w:rsidRPr="00802328">
        <w:rPr>
          <w:i/>
        </w:rPr>
        <w:t>Kingdom</w:t>
      </w:r>
      <w:r w:rsidRPr="00BB6E80">
        <w:t xml:space="preserve">, </w:t>
      </w:r>
      <w:r w:rsidR="00802328">
        <w:t xml:space="preserve">judgment of 18 January 1978, Series A no. 25, p. 65, § </w:t>
      </w:r>
      <w:r w:rsidRPr="00BB6E80">
        <w:t>163</w:t>
      </w:r>
      <w:r w:rsidR="00756A21" w:rsidRPr="00BB6E80">
        <w:t>;</w:t>
      </w:r>
      <w:r w:rsidRPr="00BB6E80">
        <w:t xml:space="preserve"> </w:t>
      </w:r>
      <w:r w:rsidRPr="00802328">
        <w:rPr>
          <w:i/>
        </w:rPr>
        <w:t>Soering v. the United</w:t>
      </w:r>
      <w:r w:rsidRPr="00BB6E80">
        <w:t xml:space="preserve"> </w:t>
      </w:r>
      <w:r w:rsidRPr="00802328">
        <w:rPr>
          <w:i/>
        </w:rPr>
        <w:t>King</w:t>
      </w:r>
      <w:r w:rsidR="009E3A71">
        <w:rPr>
          <w:i/>
        </w:rPr>
        <w:t>d</w:t>
      </w:r>
      <w:r w:rsidRPr="00802328">
        <w:rPr>
          <w:i/>
        </w:rPr>
        <w:t>om</w:t>
      </w:r>
      <w:r w:rsidR="00756A21" w:rsidRPr="00BB6E80">
        <w:t>,</w:t>
      </w:r>
      <w:r w:rsidR="00802328">
        <w:t xml:space="preserve"> judgment of 7 July 1989, Series </w:t>
      </w:r>
      <w:r w:rsidRPr="00BB6E80">
        <w:t>A no.</w:t>
      </w:r>
      <w:r w:rsidR="00802328">
        <w:t xml:space="preserve"> 161, pp. 34-35, § </w:t>
      </w:r>
      <w:r w:rsidR="00756A21" w:rsidRPr="00BB6E80">
        <w:t>88;</w:t>
      </w:r>
      <w:r w:rsidRPr="00BB6E80">
        <w:t xml:space="preserve"> </w:t>
      </w:r>
      <w:r w:rsidRPr="00802328">
        <w:rPr>
          <w:i/>
        </w:rPr>
        <w:t>Chahal v. the United Kingdom</w:t>
      </w:r>
      <w:r w:rsidR="00756A21" w:rsidRPr="00BB6E80">
        <w:t xml:space="preserve">, </w:t>
      </w:r>
      <w:r w:rsidR="00802328">
        <w:t xml:space="preserve">judgment of </w:t>
      </w:r>
      <w:r w:rsidRPr="00BB6E80">
        <w:t xml:space="preserve">15 November 1996, </w:t>
      </w:r>
      <w:r w:rsidRPr="00802328">
        <w:rPr>
          <w:i/>
        </w:rPr>
        <w:t>Reports</w:t>
      </w:r>
      <w:r w:rsidRPr="00BB6E80">
        <w:t xml:space="preserve"> 1996</w:t>
      </w:r>
      <w:r w:rsidRPr="00BB6E80">
        <w:noBreakHyphen/>
        <w:t>V, p. 1855, § 79</w:t>
      </w:r>
      <w:r w:rsidR="00756A21" w:rsidRPr="00BB6E80">
        <w:t>;</w:t>
      </w:r>
      <w:r w:rsidRPr="00BB6E80">
        <w:t xml:space="preserve"> and </w:t>
      </w:r>
      <w:r w:rsidRPr="00802328">
        <w:rPr>
          <w:i/>
        </w:rPr>
        <w:t>Selmouni v. France</w:t>
      </w:r>
      <w:r w:rsidR="004D1C7F">
        <w:rPr>
          <w:i/>
        </w:rPr>
        <w:t xml:space="preserve"> </w:t>
      </w:r>
      <w:r w:rsidR="004D1C7F">
        <w:t>[GC]</w:t>
      </w:r>
      <w:r w:rsidRPr="00BB6E80">
        <w:t xml:space="preserve">, </w:t>
      </w:r>
      <w:r w:rsidR="005745F5">
        <w:t>no. 25803/94</w:t>
      </w:r>
      <w:r w:rsidRPr="00BB6E80">
        <w:t>,</w:t>
      </w:r>
      <w:r w:rsidR="005745F5">
        <w:t xml:space="preserve"> </w:t>
      </w:r>
      <w:r w:rsidRPr="00BB6E80">
        <w:t>§ 79</w:t>
      </w:r>
      <w:r w:rsidR="005745F5">
        <w:t>, ECHR 1999-V</w:t>
      </w:r>
      <w:r w:rsidRPr="00BB6E80">
        <w:t>).</w:t>
      </w:r>
    </w:p>
    <w:p w:rsidR="007A2F6F" w:rsidRPr="00BB6E80" w:rsidRDefault="007A2F6F" w:rsidP="00BB6E80">
      <w:pPr>
        <w:pStyle w:val="JuPara"/>
      </w:pPr>
      <w:r w:rsidRPr="00BB6E80">
        <w:t xml:space="preserve">In those circumstances, the Court considers that, in accordance with </w:t>
      </w:r>
      <w:r w:rsidR="005C562F" w:rsidRPr="00BB6E80">
        <w:t xml:space="preserve">contemporary norms </w:t>
      </w:r>
      <w:r w:rsidRPr="00BB6E80">
        <w:t xml:space="preserve">and trends in </w:t>
      </w:r>
      <w:r w:rsidR="005C562F" w:rsidRPr="00BB6E80">
        <w:t xml:space="preserve">this field, </w:t>
      </w:r>
      <w:r w:rsidRPr="00BB6E80">
        <w:t xml:space="preserve">the </w:t>
      </w:r>
      <w:r w:rsidR="000436ED" w:rsidRPr="00BB6E80">
        <w:t>member States</w:t>
      </w:r>
      <w:r w:rsidR="00C63C92">
        <w:t>'</w:t>
      </w:r>
      <w:r w:rsidR="000436ED" w:rsidRPr="00BB6E80">
        <w:t xml:space="preserve"> </w:t>
      </w:r>
      <w:r w:rsidRPr="00BB6E80">
        <w:t xml:space="preserve">positive obligations under Article 4 of the Convention </w:t>
      </w:r>
      <w:r w:rsidR="000436ED" w:rsidRPr="00BB6E80">
        <w:t xml:space="preserve">must be seen as requiring </w:t>
      </w:r>
      <w:r w:rsidRPr="00BB6E80">
        <w:t>the penalis</w:t>
      </w:r>
      <w:r w:rsidR="000436ED" w:rsidRPr="00BB6E80">
        <w:t>ation</w:t>
      </w:r>
      <w:r w:rsidRPr="00BB6E80">
        <w:t xml:space="preserve"> and </w:t>
      </w:r>
      <w:r w:rsidR="000436ED" w:rsidRPr="00BB6E80">
        <w:t>effective prosecution of</w:t>
      </w:r>
      <w:r w:rsidRPr="00BB6E80">
        <w:t xml:space="preserve"> any act aimed at maintaining a person in such a situation (see, </w:t>
      </w:r>
      <w:r w:rsidRPr="00802328">
        <w:rPr>
          <w:i/>
        </w:rPr>
        <w:t>mutatis mutandis</w:t>
      </w:r>
      <w:r w:rsidRPr="00BB6E80">
        <w:t xml:space="preserve">, </w:t>
      </w:r>
      <w:r w:rsidRPr="00802328">
        <w:rPr>
          <w:i/>
        </w:rPr>
        <w:t>M.C. v. Bulgaria</w:t>
      </w:r>
      <w:r w:rsidRPr="00BB6E80">
        <w:t>, cited above, § 166).</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113</w:t>
      </w:r>
      <w:r w:rsidRPr="00BB6E80">
        <w:fldChar w:fldCharType="end"/>
      </w:r>
      <w:r w:rsidRPr="00BB6E80">
        <w:t>.  Accordingly, the Court must determine whether the applicant</w:t>
      </w:r>
      <w:r w:rsidR="00C63C92">
        <w:t>'</w:t>
      </w:r>
      <w:r w:rsidRPr="00BB6E80">
        <w:t>s situation falls within Article 4 of the Convention.</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114</w:t>
      </w:r>
      <w:r w:rsidRPr="00BB6E80">
        <w:fldChar w:fldCharType="end"/>
      </w:r>
      <w:r w:rsidRPr="00BB6E80">
        <w:t>.  It is not disputed that she worked for years for Mr and Mrs B., without respite and against her will.</w:t>
      </w:r>
    </w:p>
    <w:p w:rsidR="007A2F6F" w:rsidRPr="00BB6E80" w:rsidRDefault="007A2F6F" w:rsidP="00BB6E80">
      <w:pPr>
        <w:pStyle w:val="JuPara"/>
      </w:pPr>
      <w:r w:rsidRPr="00BB6E80">
        <w:t xml:space="preserve">It has also been established that the applicant </w:t>
      </w:r>
      <w:r w:rsidR="000436ED" w:rsidRPr="00BB6E80">
        <w:t xml:space="preserve">has received </w:t>
      </w:r>
      <w:r w:rsidRPr="00BB6E80">
        <w:t xml:space="preserve">no </w:t>
      </w:r>
      <w:r w:rsidR="000436ED" w:rsidRPr="00BB6E80">
        <w:t>remuneration from</w:t>
      </w:r>
      <w:r w:rsidRPr="00BB6E80">
        <w:t xml:space="preserve"> Mr and Mrs B. for her work.</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115</w:t>
      </w:r>
      <w:r w:rsidRPr="00BB6E80">
        <w:fldChar w:fldCharType="end"/>
      </w:r>
      <w:r w:rsidRPr="00BB6E80">
        <w:t>.  </w:t>
      </w:r>
      <w:r w:rsidR="001F38CA" w:rsidRPr="00BB6E80">
        <w:t>In interpreting Article 4 of the European Convention, t</w:t>
      </w:r>
      <w:r w:rsidRPr="00BB6E80">
        <w:t xml:space="preserve">he Court has </w:t>
      </w:r>
      <w:r w:rsidR="000436ED" w:rsidRPr="00BB6E80">
        <w:t xml:space="preserve">in a previous case </w:t>
      </w:r>
      <w:r w:rsidRPr="00BB6E80">
        <w:t xml:space="preserve">already taken </w:t>
      </w:r>
      <w:r w:rsidR="000436ED" w:rsidRPr="00BB6E80">
        <w:t xml:space="preserve">into </w:t>
      </w:r>
      <w:r w:rsidRPr="00BB6E80">
        <w:t xml:space="preserve">account the ILO </w:t>
      </w:r>
      <w:r w:rsidR="00563C11">
        <w:t>c</w:t>
      </w:r>
      <w:r w:rsidRPr="00BB6E80">
        <w:t>onventions, which are binding on almost all of the Council of Europe</w:t>
      </w:r>
      <w:r w:rsidR="00C63C92">
        <w:t>'</w:t>
      </w:r>
      <w:r w:rsidRPr="00BB6E80">
        <w:t xml:space="preserve">s member States, including France, and especially the 1930 Forced Labour Convention (see </w:t>
      </w:r>
      <w:r w:rsidRPr="00802328">
        <w:rPr>
          <w:i/>
        </w:rPr>
        <w:t>Van der Mussele v. Belgium</w:t>
      </w:r>
      <w:r w:rsidRPr="00BB6E80">
        <w:t>, judgment of</w:t>
      </w:r>
      <w:r w:rsidR="00802328">
        <w:t xml:space="preserve"> 23 November 1983, Series A no. </w:t>
      </w:r>
      <w:r w:rsidRPr="00BB6E80">
        <w:t xml:space="preserve">70, </w:t>
      </w:r>
      <w:r w:rsidR="00802328">
        <w:t xml:space="preserve">p. 16, </w:t>
      </w:r>
      <w:r w:rsidRPr="00BB6E80">
        <w:t>§ 32).</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116</w:t>
      </w:r>
      <w:r w:rsidRPr="00BB6E80">
        <w:fldChar w:fldCharType="end"/>
      </w:r>
      <w:r w:rsidRPr="00BB6E80">
        <w:t xml:space="preserve">.  It considers that there is in fact a striking similarity, which is not accidental, between paragraph 3 of Article 4 of the European Convention and paragraph 2 of Article 2 of Convention No. 29. Paragraph 1 of the last-mentioned Article provides that “for the purposes” of the latter </w:t>
      </w:r>
      <w:r w:rsidR="00563C11">
        <w:t>c</w:t>
      </w:r>
      <w:r w:rsidRPr="00BB6E80">
        <w:t>onvention, the term “forced or compulsory labour” shall mean “all work or service which is exacted from any person under the menace of any penalty and for which the said person has not offered himself voluntarily”.</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117</w:t>
      </w:r>
      <w:r w:rsidRPr="00BB6E80">
        <w:fldChar w:fldCharType="end"/>
      </w:r>
      <w:r w:rsidRPr="00BB6E80">
        <w:t xml:space="preserve">.  It remains to be ascertained whether there was “forced or compulsory” labour. This brings to mind the idea of physical or mental constraint. What there has to be is work “exacted ... under the menace of any penalty” and also performed against the will of the person concerned, that is work for which he “has not offered himself voluntarily” (see </w:t>
      </w:r>
      <w:r w:rsidRPr="00802328">
        <w:rPr>
          <w:i/>
        </w:rPr>
        <w:t>Van der Mussele</w:t>
      </w:r>
      <w:r w:rsidRPr="00BB6E80">
        <w:t xml:space="preserve">, cited above, </w:t>
      </w:r>
      <w:r w:rsidR="00802328">
        <w:t xml:space="preserve">p. 17, </w:t>
      </w:r>
      <w:r w:rsidRPr="00BB6E80">
        <w:t>§ 34).</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118</w:t>
      </w:r>
      <w:r w:rsidRPr="00BB6E80">
        <w:fldChar w:fldCharType="end"/>
      </w:r>
      <w:r w:rsidRPr="00BB6E80">
        <w:t xml:space="preserve">.  The Court notes that, in the instant case, although the applicant was not threatened by a “penalty”, the </w:t>
      </w:r>
      <w:r w:rsidR="000436ED" w:rsidRPr="00BB6E80">
        <w:t>fact remains</w:t>
      </w:r>
      <w:r w:rsidRPr="00BB6E80">
        <w:t xml:space="preserve"> that she was in an equivalent situation in terms of the </w:t>
      </w:r>
      <w:r w:rsidR="000436ED" w:rsidRPr="00BB6E80">
        <w:t xml:space="preserve">perceived </w:t>
      </w:r>
      <w:r w:rsidRPr="00BB6E80">
        <w:t>seriousness of the threat.</w:t>
      </w:r>
    </w:p>
    <w:p w:rsidR="007A2F6F" w:rsidRPr="00BB6E80" w:rsidRDefault="000436ED" w:rsidP="00BB6E80">
      <w:pPr>
        <w:pStyle w:val="JuPara"/>
      </w:pPr>
      <w:r w:rsidRPr="00BB6E80">
        <w:t xml:space="preserve">She </w:t>
      </w:r>
      <w:r w:rsidR="00333B13" w:rsidRPr="00BB6E80">
        <w:t xml:space="preserve">was an </w:t>
      </w:r>
      <w:r w:rsidR="007A2F6F" w:rsidRPr="00BB6E80">
        <w:t>adolescent</w:t>
      </w:r>
      <w:r w:rsidR="00333B13" w:rsidRPr="00BB6E80">
        <w:t xml:space="preserve"> girl in </w:t>
      </w:r>
      <w:r w:rsidR="007A2F6F" w:rsidRPr="00BB6E80">
        <w:t>a foreign</w:t>
      </w:r>
      <w:r w:rsidR="00333B13" w:rsidRPr="00BB6E80">
        <w:t xml:space="preserve"> land</w:t>
      </w:r>
      <w:r w:rsidR="007A2F6F" w:rsidRPr="00BB6E80">
        <w:t xml:space="preserve">, unlawfully present </w:t>
      </w:r>
      <w:r w:rsidR="003F764E">
        <w:t>o</w:t>
      </w:r>
      <w:r w:rsidR="007A2F6F" w:rsidRPr="00BB6E80">
        <w:t xml:space="preserve">n French territory and </w:t>
      </w:r>
      <w:r w:rsidR="00333B13" w:rsidRPr="00BB6E80">
        <w:t>in fear</w:t>
      </w:r>
      <w:r w:rsidR="007A2F6F" w:rsidRPr="00BB6E80">
        <w:t xml:space="preserve"> of arrest by the police. Indeed, Mr and Mrs B. </w:t>
      </w:r>
      <w:r w:rsidR="00333B13" w:rsidRPr="00BB6E80">
        <w:t xml:space="preserve">nurtured </w:t>
      </w:r>
      <w:r w:rsidR="007A2F6F" w:rsidRPr="00BB6E80">
        <w:t>that fear and led her to believe that her st</w:t>
      </w:r>
      <w:r w:rsidR="00802328">
        <w:t>atus would be regularised (see paragraph</w:t>
      </w:r>
      <w:r w:rsidR="007A2F6F" w:rsidRPr="00BB6E80">
        <w:t xml:space="preserve"> 22 above).</w:t>
      </w:r>
    </w:p>
    <w:p w:rsidR="00C63C92" w:rsidRDefault="007A2F6F" w:rsidP="00BB6E80">
      <w:pPr>
        <w:pStyle w:val="JuPara"/>
      </w:pPr>
      <w:r w:rsidRPr="00BB6E80">
        <w:t>Accordingly, the Court considers that the first criterion was met, especially since the applicant was a minor at the relevant time, a point which the Court emphasises.</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119</w:t>
      </w:r>
      <w:r w:rsidRPr="00BB6E80">
        <w:fldChar w:fldCharType="end"/>
      </w:r>
      <w:r w:rsidRPr="00BB6E80">
        <w:t xml:space="preserve">.  As to whether she </w:t>
      </w:r>
      <w:r w:rsidR="001F38CA" w:rsidRPr="00BB6E80">
        <w:t>performed</w:t>
      </w:r>
      <w:r w:rsidRPr="00BB6E80">
        <w:t xml:space="preserve"> this work of her own free will, it is clear from the facts of the case that it c</w:t>
      </w:r>
      <w:r w:rsidR="001F38CA" w:rsidRPr="00BB6E80">
        <w:t xml:space="preserve">annot </w:t>
      </w:r>
      <w:r w:rsidRPr="00BB6E80">
        <w:t xml:space="preserve">seriously be maintained that </w:t>
      </w:r>
      <w:r w:rsidR="00333B13" w:rsidRPr="00BB6E80">
        <w:t>she did</w:t>
      </w:r>
      <w:r w:rsidRPr="00BB6E80">
        <w:t>. On the contrary, it is evident that she was not given any choice.</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120</w:t>
      </w:r>
      <w:r w:rsidRPr="00BB6E80">
        <w:fldChar w:fldCharType="end"/>
      </w:r>
      <w:r w:rsidRPr="00BB6E80">
        <w:t xml:space="preserve">.  In </w:t>
      </w:r>
      <w:r w:rsidR="00333B13" w:rsidRPr="00BB6E80">
        <w:t xml:space="preserve">these </w:t>
      </w:r>
      <w:r w:rsidRPr="00BB6E80">
        <w:t>circumstances, the Court considers that the applicant was, at the least, subjected to forced labour within the meaning of Article 4 of the Convention at a time when she was a minor.</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121</w:t>
      </w:r>
      <w:r w:rsidRPr="00BB6E80">
        <w:fldChar w:fldCharType="end"/>
      </w:r>
      <w:r w:rsidRPr="00BB6E80">
        <w:t xml:space="preserve">.  It remains for the Court to determine whether the applicant </w:t>
      </w:r>
      <w:r w:rsidR="001F38CA" w:rsidRPr="00BB6E80">
        <w:t xml:space="preserve">was </w:t>
      </w:r>
      <w:r w:rsidRPr="00BB6E80">
        <w:t>also held in servitude or slavery.</w:t>
      </w:r>
    </w:p>
    <w:p w:rsidR="007A2F6F" w:rsidRPr="00BB6E80" w:rsidRDefault="007A2F6F" w:rsidP="00BB6E80">
      <w:pPr>
        <w:pStyle w:val="JuPara"/>
      </w:pPr>
      <w:r w:rsidRPr="00BB6E80">
        <w:t>Sight should not be lost of th</w:t>
      </w:r>
      <w:r w:rsidR="00333B13" w:rsidRPr="00BB6E80">
        <w:t>e</w:t>
      </w:r>
      <w:r w:rsidRPr="00BB6E80">
        <w:t xml:space="preserve"> Convention</w:t>
      </w:r>
      <w:r w:rsidR="00C63C92">
        <w:t>'</w:t>
      </w:r>
      <w:r w:rsidRPr="00BB6E80">
        <w:t xml:space="preserve">s special features or of the fact that it is a living instrument which must be interpreted in the light of present-day conditions, and that the increasingly high standard being required in the area of the protection of human rights and fundamental liberties correspondingly and inevitably requires greater firmness in assessing breaches of the fundamental values of democratic societies (see, among many other </w:t>
      </w:r>
      <w:r w:rsidR="00333B13" w:rsidRPr="00BB6E80">
        <w:t>authorities</w:t>
      </w:r>
      <w:r w:rsidRPr="00BB6E80">
        <w:t xml:space="preserve">, </w:t>
      </w:r>
      <w:r w:rsidRPr="00802328">
        <w:rPr>
          <w:i/>
        </w:rPr>
        <w:t>Selmouni</w:t>
      </w:r>
      <w:r w:rsidRPr="00BB6E80">
        <w:t>, cited above, § 101).</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122</w:t>
      </w:r>
      <w:r w:rsidRPr="00BB6E80">
        <w:fldChar w:fldCharType="end"/>
      </w:r>
      <w:r w:rsidRPr="00BB6E80">
        <w:t xml:space="preserve">.  The Court notes </w:t>
      </w:r>
      <w:r w:rsidR="00333B13" w:rsidRPr="00BB6E80">
        <w:t xml:space="preserve">at </w:t>
      </w:r>
      <w:r w:rsidRPr="00BB6E80">
        <w:t xml:space="preserve">the outset that, according to the 1927 Slavery Convention, “slavery is the status or condition of a person over whom any or all of the powers attaching to the right of </w:t>
      </w:r>
      <w:r w:rsidR="0076696D">
        <w:t>ownership are exercised”.</w:t>
      </w:r>
    </w:p>
    <w:p w:rsidR="00C63C92" w:rsidRDefault="007A2F6F" w:rsidP="00BB6E80">
      <w:pPr>
        <w:pStyle w:val="JuPara"/>
      </w:pPr>
      <w:r w:rsidRPr="00BB6E80">
        <w:t xml:space="preserve">It notes that this definition corresponds to the “classic” meaning of slavery as </w:t>
      </w:r>
      <w:r w:rsidR="001F38CA" w:rsidRPr="00BB6E80">
        <w:t xml:space="preserve">it </w:t>
      </w:r>
      <w:r w:rsidRPr="00BB6E80">
        <w:t>was practi</w:t>
      </w:r>
      <w:r w:rsidR="00563C11">
        <w:t>s</w:t>
      </w:r>
      <w:r w:rsidRPr="00BB6E80">
        <w:t xml:space="preserve">ed for centuries. Although the applicant was, in the instant case, clearly deprived of her personal autonomy, the evidence does not suggest that she was held in slavery in the proper sense, in other words that Mr and Mrs B. exercised a genuine right of legal ownership over her, thus reducing her to the status of an </w:t>
      </w:r>
      <w:r w:rsidR="00333B13" w:rsidRPr="00BB6E80">
        <w:t>“</w:t>
      </w:r>
      <w:r w:rsidRPr="00BB6E80">
        <w:t>object</w:t>
      </w:r>
      <w:r w:rsidR="00333B13" w:rsidRPr="00BB6E80">
        <w:t>”</w:t>
      </w:r>
      <w:r w:rsidRPr="00BB6E80">
        <w:t>.</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123</w:t>
      </w:r>
      <w:r w:rsidRPr="00BB6E80">
        <w:fldChar w:fldCharType="end"/>
      </w:r>
      <w:r w:rsidRPr="00BB6E80">
        <w:t>. </w:t>
      </w:r>
      <w:r w:rsidR="0076696D">
        <w:t> </w:t>
      </w:r>
      <w:r w:rsidRPr="00BB6E80">
        <w:t xml:space="preserve">With regard to the concept of “servitude”, </w:t>
      </w:r>
      <w:r w:rsidR="00563C11">
        <w:t>what is prohibited is</w:t>
      </w:r>
      <w:r w:rsidRPr="00BB6E80">
        <w:t xml:space="preserve"> a </w:t>
      </w:r>
      <w:r w:rsidR="00563C11">
        <w:t>“</w:t>
      </w:r>
      <w:r w:rsidRPr="00BB6E80">
        <w:t xml:space="preserve">particularly serious form of denial of freedom” (see </w:t>
      </w:r>
      <w:r w:rsidRPr="00802328">
        <w:rPr>
          <w:i/>
        </w:rPr>
        <w:t>Van Droogenbroeck v. Belgium</w:t>
      </w:r>
      <w:r w:rsidRPr="00BB6E80">
        <w:t xml:space="preserve">, </w:t>
      </w:r>
      <w:r w:rsidR="00802328">
        <w:t>Commission</w:t>
      </w:r>
      <w:r w:rsidR="00C63C92">
        <w:t>'</w:t>
      </w:r>
      <w:r w:rsidR="00802328">
        <w:t xml:space="preserve">s report of </w:t>
      </w:r>
      <w:smartTag w:uri="urn:schemas-microsoft-com:office:smarttags" w:element="date">
        <w:smartTagPr>
          <w:attr w:name="Month" w:val="7"/>
          <w:attr w:name="Day" w:val="9"/>
          <w:attr w:name="Year" w:val="1980"/>
        </w:smartTagPr>
        <w:r w:rsidR="00802328">
          <w:t>9 July 1980</w:t>
        </w:r>
      </w:smartTag>
      <w:r w:rsidR="00802328">
        <w:t>, Series B</w:t>
      </w:r>
      <w:r w:rsidRPr="00BB6E80">
        <w:t xml:space="preserve"> </w:t>
      </w:r>
      <w:r w:rsidR="00802328">
        <w:t>no.</w:t>
      </w:r>
      <w:r w:rsidRPr="00BB6E80">
        <w:t xml:space="preserve"> 44, p. 30, §§</w:t>
      </w:r>
      <w:r w:rsidR="00B16B18">
        <w:t> </w:t>
      </w:r>
      <w:r w:rsidR="00802328">
        <w:t>78</w:t>
      </w:r>
      <w:r w:rsidR="00B16B18">
        <w:noBreakHyphen/>
      </w:r>
      <w:r w:rsidRPr="00BB6E80">
        <w:t xml:space="preserve">80). It includes, “in addition to the </w:t>
      </w:r>
      <w:r w:rsidRPr="00BB6E80">
        <w:rPr>
          <w:szCs w:val="24"/>
        </w:rPr>
        <w:t xml:space="preserve">obligation to </w:t>
      </w:r>
      <w:r w:rsidR="00563C11">
        <w:rPr>
          <w:szCs w:val="24"/>
        </w:rPr>
        <w:t>perform</w:t>
      </w:r>
      <w:r w:rsidR="00563C11" w:rsidRPr="00BB6E80">
        <w:rPr>
          <w:szCs w:val="24"/>
        </w:rPr>
        <w:t xml:space="preserve"> </w:t>
      </w:r>
      <w:r w:rsidR="001F38CA" w:rsidRPr="00BB6E80">
        <w:rPr>
          <w:szCs w:val="24"/>
        </w:rPr>
        <w:t xml:space="preserve">certain services </w:t>
      </w:r>
      <w:r w:rsidR="00563C11">
        <w:rPr>
          <w:szCs w:val="24"/>
        </w:rPr>
        <w:t>for others</w:t>
      </w:r>
      <w:r w:rsidR="00802328">
        <w:rPr>
          <w:szCs w:val="24"/>
        </w:rPr>
        <w:t xml:space="preserve"> </w:t>
      </w:r>
      <w:r w:rsidRPr="00BB6E80">
        <w:rPr>
          <w:szCs w:val="24"/>
        </w:rPr>
        <w:t xml:space="preserve">... the obligation </w:t>
      </w:r>
      <w:r w:rsidR="00563C11">
        <w:rPr>
          <w:szCs w:val="24"/>
        </w:rPr>
        <w:t>for</w:t>
      </w:r>
      <w:r w:rsidRPr="00BB6E80">
        <w:rPr>
          <w:szCs w:val="24"/>
        </w:rPr>
        <w:t xml:space="preserve"> the </w:t>
      </w:r>
      <w:r w:rsidR="00C63C92">
        <w:rPr>
          <w:szCs w:val="24"/>
        </w:rPr>
        <w:t>'</w:t>
      </w:r>
      <w:r w:rsidRPr="00BB6E80">
        <w:rPr>
          <w:szCs w:val="24"/>
        </w:rPr>
        <w:t>serf</w:t>
      </w:r>
      <w:r w:rsidR="00C63C92">
        <w:rPr>
          <w:szCs w:val="24"/>
        </w:rPr>
        <w:t>'</w:t>
      </w:r>
      <w:r w:rsidRPr="00BB6E80">
        <w:rPr>
          <w:szCs w:val="24"/>
        </w:rPr>
        <w:t xml:space="preserve"> to live on </w:t>
      </w:r>
      <w:r w:rsidR="00563C11">
        <w:rPr>
          <w:szCs w:val="24"/>
        </w:rPr>
        <w:t>another person</w:t>
      </w:r>
      <w:r w:rsidR="00C63C92">
        <w:rPr>
          <w:szCs w:val="24"/>
        </w:rPr>
        <w:t>'</w:t>
      </w:r>
      <w:r w:rsidR="00563C11">
        <w:rPr>
          <w:szCs w:val="24"/>
        </w:rPr>
        <w:t>s</w:t>
      </w:r>
      <w:r w:rsidRPr="00BB6E80">
        <w:rPr>
          <w:szCs w:val="24"/>
        </w:rPr>
        <w:t xml:space="preserve"> property and the impossibility of </w:t>
      </w:r>
      <w:r w:rsidR="00563C11">
        <w:rPr>
          <w:szCs w:val="24"/>
        </w:rPr>
        <w:t>altering</w:t>
      </w:r>
      <w:r w:rsidR="00563C11" w:rsidRPr="00BB6E80">
        <w:rPr>
          <w:szCs w:val="24"/>
        </w:rPr>
        <w:t xml:space="preserve"> </w:t>
      </w:r>
      <w:r w:rsidRPr="00BB6E80">
        <w:rPr>
          <w:szCs w:val="24"/>
        </w:rPr>
        <w:t xml:space="preserve">his </w:t>
      </w:r>
      <w:r w:rsidR="00563C11">
        <w:rPr>
          <w:szCs w:val="24"/>
        </w:rPr>
        <w:t>condition</w:t>
      </w:r>
      <w:r w:rsidRPr="00BB6E80">
        <w:rPr>
          <w:szCs w:val="24"/>
        </w:rPr>
        <w:t>”.</w:t>
      </w:r>
      <w:r w:rsidRPr="00BB6E80">
        <w:t xml:space="preserve"> In this connection, in examin</w:t>
      </w:r>
      <w:r w:rsidR="001F38CA" w:rsidRPr="00BB6E80">
        <w:t xml:space="preserve">ing </w:t>
      </w:r>
      <w:r w:rsidRPr="00BB6E80">
        <w:t xml:space="preserve">a complaint under this paragraph of Article 4, the Commission </w:t>
      </w:r>
      <w:r w:rsidR="001F38CA" w:rsidRPr="00BB6E80">
        <w:t xml:space="preserve">paid </w:t>
      </w:r>
      <w:r w:rsidRPr="00BB6E80">
        <w:t xml:space="preserve">particular </w:t>
      </w:r>
      <w:r w:rsidR="001F38CA" w:rsidRPr="00BB6E80">
        <w:t xml:space="preserve">attention </w:t>
      </w:r>
      <w:r w:rsidRPr="00BB6E80">
        <w:t xml:space="preserve">to </w:t>
      </w:r>
      <w:r w:rsidR="001F38CA" w:rsidRPr="00BB6E80">
        <w:t xml:space="preserve">the </w:t>
      </w:r>
      <w:r w:rsidRPr="00BB6E80">
        <w:t xml:space="preserve">Abolition of Slavery </w:t>
      </w:r>
      <w:r w:rsidR="00563C11">
        <w:t xml:space="preserve">Convention </w:t>
      </w:r>
      <w:r w:rsidRPr="00BB6E80">
        <w:t xml:space="preserve">(see </w:t>
      </w:r>
      <w:r w:rsidR="00802328">
        <w:t xml:space="preserve">also </w:t>
      </w:r>
      <w:r w:rsidR="00802328" w:rsidRPr="00802328">
        <w:rPr>
          <w:i/>
        </w:rPr>
        <w:t>Van Droogenbroeck v. Belgium</w:t>
      </w:r>
      <w:r w:rsidR="00802328">
        <w:t xml:space="preserve">, </w:t>
      </w:r>
      <w:r w:rsidRPr="00BB6E80">
        <w:t xml:space="preserve">no. 7906/77, </w:t>
      </w:r>
      <w:r w:rsidR="00802328">
        <w:t>Commission decision of 5</w:t>
      </w:r>
      <w:r w:rsidR="00563C11">
        <w:t> </w:t>
      </w:r>
      <w:r w:rsidR="00802328">
        <w:t>July 1979, DR</w:t>
      </w:r>
      <w:r w:rsidRPr="00BB6E80">
        <w:t xml:space="preserve"> 17, p. 59).</w:t>
      </w:r>
    </w:p>
    <w:p w:rsidR="007A2F6F" w:rsidRPr="00BB6E80" w:rsidRDefault="007A2F6F" w:rsidP="00BB6E80">
      <w:pPr>
        <w:pStyle w:val="JuPara"/>
        <w:rPr>
          <w:szCs w:val="24"/>
        </w:rPr>
      </w:pPr>
      <w:r w:rsidRPr="00BB6E80">
        <w:fldChar w:fldCharType="begin"/>
      </w:r>
      <w:r w:rsidRPr="00BB6E80">
        <w:instrText xml:space="preserve"> SEQ level0 \*arabic </w:instrText>
      </w:r>
      <w:r w:rsidRPr="00BB6E80">
        <w:fldChar w:fldCharType="separate"/>
      </w:r>
      <w:r w:rsidR="00E97C1C">
        <w:rPr>
          <w:noProof/>
        </w:rPr>
        <w:t>124</w:t>
      </w:r>
      <w:r w:rsidRPr="00BB6E80">
        <w:fldChar w:fldCharType="end"/>
      </w:r>
      <w:r w:rsidRPr="00BB6E80">
        <w:t xml:space="preserve">.  It follows in the light of the case-law </w:t>
      </w:r>
      <w:r w:rsidR="00333B13" w:rsidRPr="00BB6E80">
        <w:t xml:space="preserve">on this issue </w:t>
      </w:r>
      <w:r w:rsidRPr="00BB6E80">
        <w:t xml:space="preserve">that </w:t>
      </w:r>
      <w:r w:rsidR="00333B13" w:rsidRPr="00BB6E80">
        <w:t xml:space="preserve">for Convention purposes </w:t>
      </w:r>
      <w:r w:rsidRPr="00BB6E80">
        <w:t xml:space="preserve">“servitude” </w:t>
      </w:r>
      <w:r w:rsidR="00333B13" w:rsidRPr="00BB6E80">
        <w:t>means</w:t>
      </w:r>
      <w:r w:rsidRPr="00BB6E80">
        <w:t xml:space="preserve"> an obligation to provide one</w:t>
      </w:r>
      <w:r w:rsidR="00C63C92">
        <w:t>'</w:t>
      </w:r>
      <w:r w:rsidRPr="00BB6E80">
        <w:t xml:space="preserve">s services </w:t>
      </w:r>
      <w:r w:rsidR="00902A98" w:rsidRPr="00BB6E80">
        <w:t xml:space="preserve">that is imposed by the use of </w:t>
      </w:r>
      <w:r w:rsidRPr="00BB6E80">
        <w:t>coercion, and is to be linked with the concept of “slavery”</w:t>
      </w:r>
      <w:r w:rsidR="00292862" w:rsidRPr="00BB6E80">
        <w:t xml:space="preserve"> described above</w:t>
      </w:r>
      <w:r w:rsidRPr="00BB6E80">
        <w:t xml:space="preserve"> (see </w:t>
      </w:r>
      <w:r w:rsidRPr="00802328">
        <w:rPr>
          <w:i/>
        </w:rPr>
        <w:t>Seguin v. France</w:t>
      </w:r>
      <w:r w:rsidR="00802328">
        <w:t xml:space="preserve"> (dec.), no. 42400/98, 7 </w:t>
      </w:r>
      <w:r w:rsidRPr="00BB6E80">
        <w:t>March 2000</w:t>
      </w:r>
      <w:r w:rsidR="00902A98" w:rsidRPr="00BB6E80">
        <w:t>)</w:t>
      </w:r>
      <w:r w:rsidRPr="00BB6E80">
        <w:rPr>
          <w:szCs w:val="24"/>
        </w:rPr>
        <w:t>.</w:t>
      </w:r>
    </w:p>
    <w:p w:rsidR="007A2F6F" w:rsidRPr="00BB6E80" w:rsidRDefault="007A2F6F" w:rsidP="00BB6E80">
      <w:pPr>
        <w:pStyle w:val="JuPara"/>
      </w:pPr>
      <w:r w:rsidRPr="00BB6E80">
        <w:rPr>
          <w:rStyle w:val="JuParaChar"/>
        </w:rPr>
        <w:fldChar w:fldCharType="begin"/>
      </w:r>
      <w:r w:rsidRPr="00BB6E80">
        <w:rPr>
          <w:rStyle w:val="JuParaChar"/>
        </w:rPr>
        <w:instrText xml:space="preserve"> SEQ level0 \*arabic </w:instrText>
      </w:r>
      <w:r w:rsidRPr="00BB6E80">
        <w:rPr>
          <w:rStyle w:val="JuParaChar"/>
        </w:rPr>
        <w:fldChar w:fldCharType="separate"/>
      </w:r>
      <w:r w:rsidR="00E97C1C">
        <w:rPr>
          <w:rStyle w:val="JuParaChar"/>
          <w:noProof/>
        </w:rPr>
        <w:t>125</w:t>
      </w:r>
      <w:r w:rsidRPr="00BB6E80">
        <w:rPr>
          <w:rStyle w:val="JuParaChar"/>
        </w:rPr>
        <w:fldChar w:fldCharType="end"/>
      </w:r>
      <w:r w:rsidRPr="00BB6E80">
        <w:t xml:space="preserve">.  Furthermore, under the Supplementary Convention on the Abolition of Slavery, the Slave Trade, and Institutions and Practices Similar to Slavery, each of the States Parties to the </w:t>
      </w:r>
      <w:r w:rsidR="009E3A71">
        <w:t>c</w:t>
      </w:r>
      <w:r w:rsidRPr="00BB6E80">
        <w:t>onvention must take all practicable and necessary legislative and other measures to bring about the complete abolition or abandonment of the following institutions and practices:</w:t>
      </w:r>
    </w:p>
    <w:p w:rsidR="007A2F6F" w:rsidRPr="00BB6E80" w:rsidRDefault="007A2F6F" w:rsidP="00BB6E80">
      <w:pPr>
        <w:pStyle w:val="JuQuot"/>
      </w:pPr>
      <w:r w:rsidRPr="00BB6E80">
        <w:t>“(d)</w:t>
      </w:r>
      <w:r w:rsidR="00C63C92">
        <w:t xml:space="preserve"> </w:t>
      </w:r>
      <w:r w:rsidRPr="00BB6E80">
        <w:t xml:space="preserve">Any institution or practice whereby a child or young person under the age of 18 years, is delivered by either or both of his natural parents or by his guardian to another person, whether for reward or not, with a view to the exploitation of the child or </w:t>
      </w:r>
      <w:r w:rsidR="0076696D">
        <w:t>young person or of his labour.”</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126</w:t>
      </w:r>
      <w:r w:rsidRPr="00BB6E80">
        <w:fldChar w:fldCharType="end"/>
      </w:r>
      <w:r w:rsidRPr="00BB6E80">
        <w:t>.  In addition to the fact that the applicant was required to perform forced labour, the Court notes that this labour lasted almost fifteen hours a day, seven days per week.</w:t>
      </w:r>
    </w:p>
    <w:p w:rsidR="00C63C92" w:rsidRDefault="00B16B18" w:rsidP="00BB6E80">
      <w:pPr>
        <w:pStyle w:val="JuPara"/>
      </w:pPr>
      <w:r>
        <w:t>She had been b</w:t>
      </w:r>
      <w:r w:rsidR="007A2F6F" w:rsidRPr="00BB6E80">
        <w:t xml:space="preserve">rought to </w:t>
      </w:r>
      <w:smartTag w:uri="urn:schemas-microsoft-com:office:smarttags" w:element="place">
        <w:smartTag w:uri="urn:schemas-microsoft-com:office:smarttags" w:element="country-region">
          <w:r w:rsidR="007A2F6F" w:rsidRPr="00BB6E80">
            <w:t>France</w:t>
          </w:r>
        </w:smartTag>
      </w:smartTag>
      <w:r w:rsidR="007A2F6F" w:rsidRPr="00BB6E80">
        <w:t xml:space="preserve"> by a relative of her father</w:t>
      </w:r>
      <w:r w:rsidR="00C63C92">
        <w:t>'</w:t>
      </w:r>
      <w:r w:rsidR="007A2F6F" w:rsidRPr="00BB6E80">
        <w:t xml:space="preserve">s, </w:t>
      </w:r>
      <w:r>
        <w:t>and ha</w:t>
      </w:r>
      <w:r w:rsidR="007A2F6F" w:rsidRPr="00BB6E80">
        <w:t>d not chosen to work for Mr and Mrs B.</w:t>
      </w:r>
    </w:p>
    <w:p w:rsidR="007A2F6F" w:rsidRPr="00BB6E80" w:rsidRDefault="007A2F6F" w:rsidP="00BB6E80">
      <w:pPr>
        <w:pStyle w:val="JuPara"/>
      </w:pPr>
      <w:r w:rsidRPr="00BB6E80">
        <w:t xml:space="preserve">As a minor, she had no resources and was vulnerable and isolated, and had no means of </w:t>
      </w:r>
      <w:r w:rsidR="009E3A71">
        <w:t>living elsewhere</w:t>
      </w:r>
      <w:r w:rsidRPr="00BB6E80">
        <w:t xml:space="preserve"> than in the home of Mr and Mrs B., where she shared the children</w:t>
      </w:r>
      <w:r w:rsidR="00C63C92">
        <w:t>'</w:t>
      </w:r>
      <w:r w:rsidRPr="00BB6E80">
        <w:t xml:space="preserve">s bedroom as no other accommodation had been </w:t>
      </w:r>
      <w:r w:rsidR="009E3A71">
        <w:t>offered</w:t>
      </w:r>
      <w:r w:rsidRPr="00BB6E80">
        <w:t>. She was entirely at Mr and Mrs B.</w:t>
      </w:r>
      <w:r w:rsidR="00C63C92">
        <w:t>'</w:t>
      </w:r>
      <w:r w:rsidRPr="00BB6E80">
        <w:t>s mercy, since her papers had been confiscated and she had been promised that her immigration status would be regularised, which had never occurred.</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127</w:t>
      </w:r>
      <w:r w:rsidRPr="00BB6E80">
        <w:fldChar w:fldCharType="end"/>
      </w:r>
      <w:r w:rsidRPr="00BB6E80">
        <w:t>.  In addition, the applicant, who was afraid of being arrested by the police, was not in any event permitted to leave the house, except to take the children to their classes and various activities. Thus, she had no freedom of movement and no free time.</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128</w:t>
      </w:r>
      <w:r w:rsidRPr="00BB6E80">
        <w:fldChar w:fldCharType="end"/>
      </w:r>
      <w:r w:rsidRPr="00BB6E80">
        <w:t>.  As she had not been sent to school, despite the promises made to her father, the applicant could not hope that her situation would improve and was completely dependent on Mr and Mrs B.</w:t>
      </w:r>
    </w:p>
    <w:p w:rsidR="007A2F6F" w:rsidRPr="00BB6E80" w:rsidRDefault="007A2F6F" w:rsidP="00BB6E80">
      <w:pPr>
        <w:pStyle w:val="JuPara"/>
        <w:rPr>
          <w:szCs w:val="23"/>
        </w:rPr>
      </w:pPr>
      <w:r w:rsidRPr="00BB6E80">
        <w:fldChar w:fldCharType="begin"/>
      </w:r>
      <w:r w:rsidRPr="00BB6E80">
        <w:instrText xml:space="preserve"> SEQ level0 \*arabic </w:instrText>
      </w:r>
      <w:r w:rsidRPr="00BB6E80">
        <w:fldChar w:fldCharType="separate"/>
      </w:r>
      <w:r w:rsidR="00E97C1C">
        <w:rPr>
          <w:noProof/>
        </w:rPr>
        <w:t>129</w:t>
      </w:r>
      <w:r w:rsidRPr="00BB6E80">
        <w:fldChar w:fldCharType="end"/>
      </w:r>
      <w:r w:rsidRPr="00BB6E80">
        <w:t>.  In those circumstances, the Court concludes that the applicant, a minor at the relevant time, was held in servitude within the meaning of Article 4 of the Convention.</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130</w:t>
      </w:r>
      <w:r w:rsidRPr="00BB6E80">
        <w:fldChar w:fldCharType="end"/>
      </w:r>
      <w:r w:rsidRPr="00BB6E80">
        <w:t>.  Having regard to its conclusions with regard to the positive obligations under Article 4, it now falls to the Court to examine whether the impugned legislation and its</w:t>
      </w:r>
      <w:r w:rsidR="00556FF0">
        <w:t xml:space="preserve"> application in the case in issue</w:t>
      </w:r>
      <w:r w:rsidRPr="00BB6E80">
        <w:t xml:space="preserve"> had such significant flaws as to amount to a breach of Article 4 by the respondent State.</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131</w:t>
      </w:r>
      <w:r w:rsidRPr="00BB6E80">
        <w:fldChar w:fldCharType="end"/>
      </w:r>
      <w:r w:rsidRPr="00BB6E80">
        <w:t xml:space="preserve">.  According to the applicant, the provisions of French criminal law had not afforded her sufficient protection against the situation and had not </w:t>
      </w:r>
      <w:r w:rsidR="00292862" w:rsidRPr="00BB6E80">
        <w:t xml:space="preserve">made it possible for </w:t>
      </w:r>
      <w:r w:rsidRPr="00BB6E80">
        <w:t xml:space="preserve">the </w:t>
      </w:r>
      <w:r w:rsidR="00902A98" w:rsidRPr="00BB6E80">
        <w:t xml:space="preserve">culprits </w:t>
      </w:r>
      <w:r w:rsidRPr="00BB6E80">
        <w:t>to be punished.</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132</w:t>
      </w:r>
      <w:r w:rsidRPr="00BB6E80">
        <w:fldChar w:fldCharType="end"/>
      </w:r>
      <w:r w:rsidRPr="00BB6E80">
        <w:t>.  The Government, for their part, submitted that Articles 225-13 and 225-14 of the Criminal Code made it possible to combat the exploitation through labour of an individual for the purposes of Article 4 of the Convention.</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133</w:t>
      </w:r>
      <w:r w:rsidRPr="00BB6E80">
        <w:fldChar w:fldCharType="end"/>
      </w:r>
      <w:r w:rsidRPr="00BB6E80">
        <w:t>.  The Court notes that the Parliamentary Assembly of the Council of Europe, in its Recommendation 1523</w:t>
      </w:r>
      <w:r w:rsidR="00556FF0">
        <w:t xml:space="preserve"> </w:t>
      </w:r>
      <w:r w:rsidRPr="00BB6E80">
        <w:t>(2001), “[regretted] that none o</w:t>
      </w:r>
      <w:r w:rsidR="00556FF0">
        <w:t xml:space="preserve">f the Council of </w:t>
      </w:r>
      <w:smartTag w:uri="urn:schemas-microsoft-com:office:smarttags" w:element="place">
        <w:r w:rsidR="00556FF0">
          <w:t>Europe</w:t>
        </w:r>
      </w:smartTag>
      <w:r w:rsidR="00556FF0">
        <w:t xml:space="preserve"> member S</w:t>
      </w:r>
      <w:r w:rsidRPr="00BB6E80">
        <w:t>tates expressly [made] domestic slavery an offence in their criminal codes”.</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134</w:t>
      </w:r>
      <w:r w:rsidRPr="00BB6E80">
        <w:fldChar w:fldCharType="end"/>
      </w:r>
      <w:r w:rsidRPr="00BB6E80">
        <w:t xml:space="preserve">.  It notes with interest the conclusions reached by </w:t>
      </w:r>
      <w:r w:rsidR="00180C59" w:rsidRPr="00BB6E80">
        <w:t>the French National Assembly</w:t>
      </w:r>
      <w:r w:rsidR="00C63C92">
        <w:t>'</w:t>
      </w:r>
      <w:r w:rsidR="00180C59" w:rsidRPr="00BB6E80">
        <w:t>s j</w:t>
      </w:r>
      <w:r w:rsidRPr="00BB6E80">
        <w:t xml:space="preserve">oint </w:t>
      </w:r>
      <w:r w:rsidR="00180C59" w:rsidRPr="00BB6E80">
        <w:t>t</w:t>
      </w:r>
      <w:r w:rsidRPr="00BB6E80">
        <w:t xml:space="preserve">askforce on the various forms of </w:t>
      </w:r>
      <w:r w:rsidR="00180C59" w:rsidRPr="00BB6E80">
        <w:t>m</w:t>
      </w:r>
      <w:r w:rsidRPr="00BB6E80">
        <w:t xml:space="preserve">odern </w:t>
      </w:r>
      <w:r w:rsidR="00180C59" w:rsidRPr="00BB6E80">
        <w:t>s</w:t>
      </w:r>
      <w:r w:rsidR="00556FF0">
        <w:t>lavery (see “Relevant l</w:t>
      </w:r>
      <w:r w:rsidRPr="00BB6E80">
        <w:t>aw”</w:t>
      </w:r>
      <w:r w:rsidR="00556FF0">
        <w:t xml:space="preserve"> above</w:t>
      </w:r>
      <w:r w:rsidRPr="00BB6E80">
        <w:t>).</w:t>
      </w:r>
    </w:p>
    <w:p w:rsidR="007A2F6F" w:rsidRPr="00BB6E80" w:rsidRDefault="00180C59" w:rsidP="00BB6E80">
      <w:pPr>
        <w:pStyle w:val="JuPara"/>
      </w:pPr>
      <w:r w:rsidRPr="00BB6E80">
        <w:t>M</w:t>
      </w:r>
      <w:r w:rsidR="007A2F6F" w:rsidRPr="00BB6E80">
        <w:t>ore specifically</w:t>
      </w:r>
      <w:r w:rsidRPr="00BB6E80">
        <w:t xml:space="preserve">, with regard to </w:t>
      </w:r>
      <w:r w:rsidR="007A2F6F" w:rsidRPr="00BB6E80">
        <w:t>Articles 225-13 and 225-14 as worded as the material time, the taskforce found</w:t>
      </w:r>
      <w:r w:rsidRPr="00BB6E80">
        <w:t>,</w:t>
      </w:r>
      <w:r w:rsidR="007A2F6F" w:rsidRPr="00BB6E80">
        <w:t xml:space="preserve"> in particular:</w:t>
      </w:r>
    </w:p>
    <w:p w:rsidR="007A2F6F" w:rsidRPr="00BB6E80" w:rsidRDefault="007A2F6F" w:rsidP="00BB6E80">
      <w:pPr>
        <w:pStyle w:val="JuQuot"/>
      </w:pPr>
      <w:r w:rsidRPr="00BB6E80">
        <w:t>“</w:t>
      </w:r>
      <w:r w:rsidR="007221DA">
        <w:t xml:space="preserve">... </w:t>
      </w:r>
      <w:r w:rsidRPr="00BB6E80">
        <w:t>We have available a not inconsiderable arsenal of punitive measures. However, these are not always used in full and are proving an insufficient deterrent when put to the test.</w:t>
      </w:r>
      <w:r w:rsidR="007221DA">
        <w:t xml:space="preserve"> ...</w:t>
      </w:r>
    </w:p>
    <w:p w:rsidR="007A2F6F" w:rsidRPr="00BB6E80" w:rsidRDefault="007A2F6F" w:rsidP="00BB6E80">
      <w:pPr>
        <w:pStyle w:val="JuQuot"/>
      </w:pPr>
      <w:r w:rsidRPr="00BB6E80">
        <w:t>...</w:t>
      </w:r>
    </w:p>
    <w:p w:rsidR="007A2F6F" w:rsidRPr="00BB6E80" w:rsidRDefault="007A2F6F" w:rsidP="00BB6E80">
      <w:pPr>
        <w:pStyle w:val="JuQuot"/>
      </w:pPr>
      <w:r w:rsidRPr="00BB6E80">
        <w:t>The concept, found in both Articles 225-13 and 225-14 of the Criminal Code, of the abuse of an individual</w:t>
      </w:r>
      <w:r w:rsidR="00C63C92">
        <w:t>'</w:t>
      </w:r>
      <w:r w:rsidRPr="00BB6E80">
        <w:t>s vulnerability or state of dependence contains ambiguities that could be prejudicial to their application.</w:t>
      </w:r>
    </w:p>
    <w:p w:rsidR="007A2F6F" w:rsidRPr="0085722A" w:rsidRDefault="007A2F6F" w:rsidP="00ED64B2">
      <w:pPr>
        <w:pStyle w:val="JuQuot"/>
        <w:spacing w:line="360" w:lineRule="auto"/>
      </w:pPr>
      <w:r w:rsidRPr="0085722A">
        <w:t>...</w:t>
      </w:r>
    </w:p>
    <w:p w:rsidR="00556FF0" w:rsidRPr="00BB6E80" w:rsidRDefault="007A2F6F" w:rsidP="00556FF0">
      <w:pPr>
        <w:pStyle w:val="JuQuot"/>
      </w:pPr>
      <w:r w:rsidRPr="00BB6E80">
        <w:t xml:space="preserve">That said, and since the law is silent, it is up to the court to determine where the scope of those provisions ends. In this connection, analysis of the case-law reveals differences in evaluation that impede the uniform application of the law throughout </w:t>
      </w:r>
      <w:smartTag w:uri="urn:schemas-microsoft-com:office:smarttags" w:element="place">
        <w:smartTag w:uri="urn:schemas-microsoft-com:office:smarttags" w:element="country-region">
          <w:r w:rsidRPr="00BB6E80">
            <w:t>France</w:t>
          </w:r>
        </w:smartTag>
      </w:smartTag>
      <w:r w:rsidR="00C21523">
        <w:t xml:space="preserve"> </w:t>
      </w:r>
      <w:r w:rsidR="00556FF0" w:rsidRPr="00BB6E80">
        <w:t>...</w:t>
      </w:r>
    </w:p>
    <w:p w:rsidR="007221DA" w:rsidRDefault="007221DA" w:rsidP="00BB6E80">
      <w:pPr>
        <w:pStyle w:val="JuQuot"/>
      </w:pPr>
      <w:r>
        <w:t>...</w:t>
      </w:r>
    </w:p>
    <w:p w:rsidR="00CF19B3" w:rsidRDefault="00CF19B3" w:rsidP="00BB6E80">
      <w:pPr>
        <w:pStyle w:val="JuQuot"/>
      </w:pPr>
      <w:r w:rsidRPr="0085722A">
        <w:t>It is therefore apparent that, in the absence of legal criteria enabling the courts to determine whether there has been abuse of [an individual</w:t>
      </w:r>
      <w:r w:rsidR="00C63C92">
        <w:t>'</w:t>
      </w:r>
      <w:r w:rsidRPr="0085722A">
        <w:t>s] vulnerability or state of dependence, the provisions of Articles 225-13 and 225-14 of the Criminal Code are open to interpretation in different ways, some more restrictive than others</w:t>
      </w:r>
      <w:r w:rsidR="00C21523">
        <w:t>.</w:t>
      </w:r>
    </w:p>
    <w:p w:rsidR="007A2F6F" w:rsidRPr="00BB6E80" w:rsidRDefault="007A2F6F" w:rsidP="00BB6E80">
      <w:pPr>
        <w:pStyle w:val="JuQuot"/>
      </w:pPr>
      <w:r w:rsidRPr="00BB6E80">
        <w:t>...</w:t>
      </w:r>
    </w:p>
    <w:p w:rsidR="007A2F6F" w:rsidRPr="00BB6E80" w:rsidRDefault="007A2F6F" w:rsidP="00BB6E80">
      <w:pPr>
        <w:pStyle w:val="JuQuot"/>
      </w:pPr>
      <w:r w:rsidRPr="00BB6E80">
        <w:t>Whether with regard to actual or potential sentences, the shortcomings of the provisions are clearly visible, in view of the seriousness of the factual elements characteristic of modern slavery.</w:t>
      </w:r>
    </w:p>
    <w:p w:rsidR="007A2F6F" w:rsidRPr="00BB6E80" w:rsidRDefault="007A2F6F" w:rsidP="00BB6E80">
      <w:pPr>
        <w:pStyle w:val="JuQuot"/>
      </w:pPr>
      <w:r w:rsidRPr="00BB6E80">
        <w:t>...</w:t>
      </w:r>
    </w:p>
    <w:p w:rsidR="007A2F6F" w:rsidRPr="00BB6E80" w:rsidRDefault="007A2F6F" w:rsidP="00BB6E80">
      <w:pPr>
        <w:pStyle w:val="JuQuot"/>
      </w:pPr>
      <w:r w:rsidRPr="00BB6E80">
        <w:t>Bearing in mind, on the one hand, the constitutional status of the values protected by Articles 225-13 and 225-14 of the Criminal Code and, on the other, the seriousness of the offences in such cases, the inconsequential nature of the penalties faced by those guilty of them is surprising, and raises questions about the pr</w:t>
      </w:r>
      <w:r w:rsidR="00556FF0">
        <w:t>iorities of the French criminal</w:t>
      </w:r>
      <w:r w:rsidRPr="00BB6E80">
        <w:t xml:space="preserve"> justice system.”</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135</w:t>
      </w:r>
      <w:r w:rsidRPr="00BB6E80">
        <w:fldChar w:fldCharType="end"/>
      </w:r>
      <w:r w:rsidRPr="00BB6E80">
        <w:t>.  The Court notes that, in the present case, the applicant</w:t>
      </w:r>
      <w:r w:rsidR="00C63C92">
        <w:t>'</w:t>
      </w:r>
      <w:r w:rsidRPr="00BB6E80">
        <w:t>s “employers” were prosecuted under Articles 225-13 and 225-14 of the Criminal Code, which make it an offence, respectively, to exploit an individual</w:t>
      </w:r>
      <w:r w:rsidR="00C63C92">
        <w:t>'</w:t>
      </w:r>
      <w:r w:rsidRPr="00BB6E80">
        <w:t xml:space="preserve">s labour and to submit him or her to working or </w:t>
      </w:r>
      <w:r w:rsidR="00180C59" w:rsidRPr="00BB6E80">
        <w:t xml:space="preserve">living </w:t>
      </w:r>
      <w:r w:rsidRPr="00BB6E80">
        <w:t>conditions that are incompatible with human dignity.</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136</w:t>
      </w:r>
      <w:r w:rsidRPr="00BB6E80">
        <w:fldChar w:fldCharType="end"/>
      </w:r>
      <w:r w:rsidRPr="00BB6E80">
        <w:t xml:space="preserve">.  In the judgment delivered on </w:t>
      </w:r>
      <w:smartTag w:uri="urn:schemas-microsoft-com:office:smarttags" w:element="date">
        <w:smartTagPr>
          <w:attr w:name="Month" w:val="6"/>
          <w:attr w:name="Day" w:val="10"/>
          <w:attr w:name="Year" w:val="1999"/>
        </w:smartTagPr>
        <w:r w:rsidRPr="00BB6E80">
          <w:t>10 June 1999</w:t>
        </w:r>
      </w:smartTag>
      <w:r w:rsidRPr="00BB6E80">
        <w:t xml:space="preserve">, the </w:t>
      </w:r>
      <w:smartTag w:uri="urn:schemas-microsoft-com:office:smarttags" w:element="place">
        <w:smartTag w:uri="urn:schemas-microsoft-com:office:smarttags" w:element="City">
          <w:r w:rsidRPr="00BB6E80">
            <w:t>Paris</w:t>
          </w:r>
        </w:smartTag>
      </w:smartTag>
      <w:r w:rsidRPr="00BB6E80">
        <w:t xml:space="preserve"> </w:t>
      </w:r>
      <w:r w:rsidRPr="00556FF0">
        <w:rPr>
          <w:i/>
        </w:rPr>
        <w:t>tribunal de grande instance</w:t>
      </w:r>
      <w:r w:rsidRPr="00BB6E80">
        <w:t xml:space="preserve"> found Mr and Mrs B. guilty of the offence defined in Article 225-13 of the Criminal Code. </w:t>
      </w:r>
      <w:r w:rsidR="00902A98" w:rsidRPr="00BB6E80">
        <w:t>Conversely</w:t>
      </w:r>
      <w:r w:rsidRPr="00BB6E80">
        <w:t xml:space="preserve">, it found that the offence set out in Article 225-14 had not been </w:t>
      </w:r>
      <w:r w:rsidR="009E3A71">
        <w:t>made out</w:t>
      </w:r>
      <w:r w:rsidRPr="00BB6E80">
        <w:t>.</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137</w:t>
      </w:r>
      <w:r w:rsidRPr="00BB6E80">
        <w:fldChar w:fldCharType="end"/>
      </w:r>
      <w:r w:rsidRPr="00BB6E80">
        <w:t>.  The defendants were sentenced to twelve months</w:t>
      </w:r>
      <w:r w:rsidR="00C63C92">
        <w:t>'</w:t>
      </w:r>
      <w:r w:rsidRPr="00BB6E80">
        <w:t xml:space="preserve"> imprisonment, seven of which were suspended, and ordered to pay a fine of </w:t>
      </w:r>
      <w:r w:rsidR="000C6E86" w:rsidRPr="00BB6E80">
        <w:t xml:space="preserve">FRF 100,000 </w:t>
      </w:r>
      <w:r w:rsidRPr="00BB6E80">
        <w:t xml:space="preserve">each and to pay, jointly and severally, </w:t>
      </w:r>
      <w:r w:rsidR="000C6E86" w:rsidRPr="00BB6E80">
        <w:t xml:space="preserve">FRF 100,000 </w:t>
      </w:r>
      <w:r w:rsidRPr="00BB6E80">
        <w:t>to the applicant</w:t>
      </w:r>
      <w:r w:rsidR="00180C59" w:rsidRPr="00BB6E80">
        <w:t xml:space="preserve"> in</w:t>
      </w:r>
      <w:r w:rsidRPr="00BB6E80">
        <w:t xml:space="preserve"> damages.</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138</w:t>
      </w:r>
      <w:r w:rsidRPr="00BB6E80">
        <w:fldChar w:fldCharType="end"/>
      </w:r>
      <w:r w:rsidRPr="00BB6E80">
        <w:t xml:space="preserve">.  On an appeal by Mr and Mrs B., the Paris Court of Appeal delivered a judgment on </w:t>
      </w:r>
      <w:smartTag w:uri="urn:schemas-microsoft-com:office:smarttags" w:element="date">
        <w:smartTagPr>
          <w:attr w:name="Month" w:val="10"/>
          <w:attr w:name="Day" w:val="19"/>
          <w:attr w:name="Year" w:val="2000"/>
        </w:smartTagPr>
        <w:r w:rsidRPr="00BB6E80">
          <w:t>19 October 2000</w:t>
        </w:r>
      </w:smartTag>
      <w:r w:rsidRPr="00BB6E80">
        <w:t xml:space="preserve"> </w:t>
      </w:r>
      <w:r w:rsidR="00902A98" w:rsidRPr="00BB6E80">
        <w:t xml:space="preserve">in </w:t>
      </w:r>
      <w:r w:rsidR="00180C59" w:rsidRPr="00BB6E80">
        <w:t xml:space="preserve">which </w:t>
      </w:r>
      <w:r w:rsidR="00902A98" w:rsidRPr="00BB6E80">
        <w:t xml:space="preserve">it quashed </w:t>
      </w:r>
      <w:r w:rsidRPr="00BB6E80">
        <w:t>th</w:t>
      </w:r>
      <w:r w:rsidR="00180C59" w:rsidRPr="00BB6E80">
        <w:t xml:space="preserve">e </w:t>
      </w:r>
      <w:r w:rsidRPr="00BB6E80">
        <w:t xml:space="preserve">judgment </w:t>
      </w:r>
      <w:r w:rsidR="00902A98" w:rsidRPr="00BB6E80">
        <w:t xml:space="preserve">at first instance </w:t>
      </w:r>
      <w:r w:rsidRPr="00BB6E80">
        <w:t>and acquitt</w:t>
      </w:r>
      <w:r w:rsidR="00180C59" w:rsidRPr="00BB6E80">
        <w:t xml:space="preserve">ed </w:t>
      </w:r>
      <w:r w:rsidRPr="00BB6E80">
        <w:t>the defendants.</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139</w:t>
      </w:r>
      <w:r w:rsidRPr="00BB6E80">
        <w:fldChar w:fldCharType="end"/>
      </w:r>
      <w:r w:rsidRPr="00BB6E80">
        <w:t>.  On an appeal on points of law by the applicant alone, the Court of Cassation overturned the Court of Appeal</w:t>
      </w:r>
      <w:r w:rsidR="00C63C92">
        <w:t>'</w:t>
      </w:r>
      <w:r w:rsidRPr="00BB6E80">
        <w:t>s judgment</w:t>
      </w:r>
      <w:r w:rsidR="00902A98" w:rsidRPr="00BB6E80">
        <w:t>, but</w:t>
      </w:r>
      <w:r w:rsidRPr="00BB6E80">
        <w:t xml:space="preserve"> only in respect of its civil aspects</w:t>
      </w:r>
      <w:r w:rsidR="00902A98" w:rsidRPr="00BB6E80">
        <w:t>,</w:t>
      </w:r>
      <w:r w:rsidRPr="00BB6E80">
        <w:t xml:space="preserve"> and the case was remitted to another court of appeal.</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140</w:t>
      </w:r>
      <w:r w:rsidRPr="00BB6E80">
        <w:fldChar w:fldCharType="end"/>
      </w:r>
      <w:r w:rsidRPr="00BB6E80">
        <w:t xml:space="preserve">.  On </w:t>
      </w:r>
      <w:smartTag w:uri="urn:schemas-microsoft-com:office:smarttags" w:element="date">
        <w:smartTagPr>
          <w:attr w:name="Month" w:val="5"/>
          <w:attr w:name="Day" w:val="15"/>
          <w:attr w:name="Year" w:val="2003"/>
        </w:smartTagPr>
        <w:r w:rsidRPr="00BB6E80">
          <w:t>15 May 2003</w:t>
        </w:r>
      </w:smartTag>
      <w:r w:rsidRPr="00BB6E80">
        <w:t xml:space="preserve"> that court gave a judgment upholding the findings of the </w:t>
      </w:r>
      <w:r w:rsidRPr="00556FF0">
        <w:rPr>
          <w:i/>
        </w:rPr>
        <w:t>tribunal de première instance</w:t>
      </w:r>
      <w:r w:rsidRPr="00BB6E80">
        <w:t xml:space="preserve"> and awarded the applicant damages.</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141</w:t>
      </w:r>
      <w:r w:rsidRPr="00BB6E80">
        <w:fldChar w:fldCharType="end"/>
      </w:r>
      <w:r w:rsidRPr="00BB6E80">
        <w:t xml:space="preserve">.  The Court </w:t>
      </w:r>
      <w:r w:rsidR="00902A98" w:rsidRPr="00BB6E80">
        <w:t xml:space="preserve">notes </w:t>
      </w:r>
      <w:r w:rsidRPr="00BB6E80">
        <w:t xml:space="preserve">that slavery and servitude are not as such classified as offences </w:t>
      </w:r>
      <w:r w:rsidR="00902A98" w:rsidRPr="00BB6E80">
        <w:t>under</w:t>
      </w:r>
      <w:r w:rsidRPr="00BB6E80">
        <w:t xml:space="preserve"> French criminal</w:t>
      </w:r>
      <w:r w:rsidR="00902A98" w:rsidRPr="00BB6E80">
        <w:t xml:space="preserve"> </w:t>
      </w:r>
      <w:r w:rsidRPr="00BB6E80">
        <w:t>law.</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142</w:t>
      </w:r>
      <w:r w:rsidRPr="00BB6E80">
        <w:fldChar w:fldCharType="end"/>
      </w:r>
      <w:r w:rsidRPr="00BB6E80">
        <w:t xml:space="preserve">.  The Government </w:t>
      </w:r>
      <w:r w:rsidR="009E3A71">
        <w:t>pointed</w:t>
      </w:r>
      <w:r w:rsidR="009E3A71" w:rsidRPr="00BB6E80">
        <w:t xml:space="preserve"> </w:t>
      </w:r>
      <w:r w:rsidRPr="00BB6E80">
        <w:t>to Articles 225-13 and 225-14 of the Criminal Code.</w:t>
      </w:r>
    </w:p>
    <w:p w:rsidR="007A2F6F" w:rsidRPr="00BB6E80" w:rsidRDefault="007A2F6F" w:rsidP="00BB6E80">
      <w:pPr>
        <w:pStyle w:val="JuPara"/>
      </w:pPr>
      <w:r w:rsidRPr="00BB6E80">
        <w:t xml:space="preserve">The Court notes, however, that those provisions do not deal specifically with the rights guaranteed </w:t>
      </w:r>
      <w:r w:rsidR="00180C59" w:rsidRPr="00BB6E80">
        <w:t xml:space="preserve">under </w:t>
      </w:r>
      <w:r w:rsidRPr="00BB6E80">
        <w:t>Article 4 of the Convention, but concern, in a much more restrictive way, exploitation through labour and sub</w:t>
      </w:r>
      <w:r w:rsidR="00902A98" w:rsidRPr="00BB6E80">
        <w:t>ject</w:t>
      </w:r>
      <w:r w:rsidRPr="00BB6E80">
        <w:t xml:space="preserve">ion to working and </w:t>
      </w:r>
      <w:r w:rsidR="00180C59" w:rsidRPr="00BB6E80">
        <w:t xml:space="preserve">living </w:t>
      </w:r>
      <w:r w:rsidRPr="00BB6E80">
        <w:t>conditions that are incompatible with human dignity.</w:t>
      </w:r>
    </w:p>
    <w:p w:rsidR="007A2F6F" w:rsidRPr="00BB6E80" w:rsidRDefault="007A2F6F" w:rsidP="00BB6E80">
      <w:pPr>
        <w:pStyle w:val="JuPara"/>
      </w:pPr>
      <w:r w:rsidRPr="00BB6E80">
        <w:t xml:space="preserve">It therefore needs to be determined whether, in the instant case, those </w:t>
      </w:r>
      <w:r w:rsidR="00556FF0">
        <w:t>A</w:t>
      </w:r>
      <w:r w:rsidRPr="00BB6E80">
        <w:t>rticles provided effective p</w:t>
      </w:r>
      <w:r w:rsidR="00180C59" w:rsidRPr="00BB6E80">
        <w:t xml:space="preserve">enalties </w:t>
      </w:r>
      <w:r w:rsidRPr="00BB6E80">
        <w:t>for the conduct to which the applicant had been subjected.</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143</w:t>
      </w:r>
      <w:r w:rsidRPr="00BB6E80">
        <w:fldChar w:fldCharType="end"/>
      </w:r>
      <w:r w:rsidRPr="00BB6E80">
        <w:t xml:space="preserve">.  The Court has </w:t>
      </w:r>
      <w:r w:rsidR="00902A98" w:rsidRPr="00BB6E80">
        <w:t>previously stated</w:t>
      </w:r>
      <w:r w:rsidRPr="00BB6E80">
        <w:t xml:space="preserve"> that children and other vulnerable individuals, in particular, are entitled to State protection, in the form of effective deterrence, against such serious breaches of personal integrity (see, </w:t>
      </w:r>
      <w:r w:rsidRPr="00556FF0">
        <w:rPr>
          <w:i/>
        </w:rPr>
        <w:t>mutatis mutandis</w:t>
      </w:r>
      <w:r w:rsidRPr="00BB6E80">
        <w:t xml:space="preserve">, </w:t>
      </w:r>
      <w:r w:rsidRPr="00556FF0">
        <w:rPr>
          <w:i/>
        </w:rPr>
        <w:t>X and Y v. the Netherlands</w:t>
      </w:r>
      <w:r w:rsidRPr="00BB6E80">
        <w:t xml:space="preserve">, </w:t>
      </w:r>
      <w:r w:rsidR="00556FF0">
        <w:t>cited above, pp.</w:t>
      </w:r>
      <w:r w:rsidR="009E3A71">
        <w:t xml:space="preserve"> </w:t>
      </w:r>
      <w:r w:rsidR="00556FF0">
        <w:t>11-13, §§</w:t>
      </w:r>
      <w:r w:rsidR="007221DA">
        <w:t> </w:t>
      </w:r>
      <w:r w:rsidR="00556FF0">
        <w:t>21</w:t>
      </w:r>
      <w:r w:rsidR="007221DA">
        <w:noBreakHyphen/>
      </w:r>
      <w:r w:rsidRPr="00BB6E80">
        <w:t>27</w:t>
      </w:r>
      <w:r w:rsidR="00180C59" w:rsidRPr="00BB6E80">
        <w:t>;</w:t>
      </w:r>
      <w:r w:rsidRPr="00BB6E80">
        <w:t xml:space="preserve"> </w:t>
      </w:r>
      <w:r w:rsidRPr="00556FF0">
        <w:rPr>
          <w:i/>
        </w:rPr>
        <w:t>Stubbings and Others</w:t>
      </w:r>
      <w:r w:rsidRPr="00BB6E80">
        <w:t>,</w:t>
      </w:r>
      <w:r w:rsidR="00556FF0">
        <w:t xml:space="preserve"> cited above, p. 1505, §§ 62-</w:t>
      </w:r>
      <w:r w:rsidRPr="00BB6E80">
        <w:t xml:space="preserve">64; and </w:t>
      </w:r>
      <w:r w:rsidRPr="00556FF0">
        <w:rPr>
          <w:i/>
        </w:rPr>
        <w:t>A. v. the United Kingdom</w:t>
      </w:r>
      <w:r w:rsidR="0076696D">
        <w:t xml:space="preserve">, cited above, </w:t>
      </w:r>
      <w:r w:rsidR="008413AE">
        <w:t xml:space="preserve">p. 2699, </w:t>
      </w:r>
      <w:r w:rsidR="0076696D">
        <w:t xml:space="preserve">§ </w:t>
      </w:r>
      <w:r w:rsidRPr="00BB6E80">
        <w:t>22; and also the United Nations Convention on the Rights of the Child, Articles 19 and 37).</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144</w:t>
      </w:r>
      <w:r w:rsidRPr="00BB6E80">
        <w:fldChar w:fldCharType="end"/>
      </w:r>
      <w:r w:rsidRPr="00BB6E80">
        <w:t>.  </w:t>
      </w:r>
      <w:r w:rsidR="00902A98" w:rsidRPr="00BB6E80">
        <w:t>Further</w:t>
      </w:r>
      <w:r w:rsidRPr="00BB6E80">
        <w:t>, the Court has held in a case concerning rape that “the protection afforded by the civil law in the case of wrongdoing of the kind inflicted on Miss Y is insufficient. This is a case where fundamental values and essential aspects of private life are at stake. Effective deterrence is indispensable in this area and it can be achieved only by criminal-law provisions; indeed, it is by such provisions that the matter is normally regulated” (</w:t>
      </w:r>
      <w:r w:rsidR="009C5836" w:rsidRPr="00BB6E80">
        <w:t xml:space="preserve">see </w:t>
      </w:r>
      <w:r w:rsidRPr="006A6907">
        <w:rPr>
          <w:i/>
        </w:rPr>
        <w:t>X and Y v. the Netherlands</w:t>
      </w:r>
      <w:r w:rsidRPr="00BB6E80">
        <w:t xml:space="preserve">, cited above, </w:t>
      </w:r>
      <w:r w:rsidR="00556FF0">
        <w:t xml:space="preserve">p. 13, </w:t>
      </w:r>
      <w:r w:rsidRPr="00BB6E80">
        <w:t>§ 27)</w:t>
      </w:r>
      <w:r w:rsidR="009C5836" w:rsidRPr="00BB6E80">
        <w:t>.</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145</w:t>
      </w:r>
      <w:r w:rsidRPr="00BB6E80">
        <w:fldChar w:fldCharType="end"/>
      </w:r>
      <w:r w:rsidRPr="00BB6E80">
        <w:t xml:space="preserve">.  The Court observes that, in the instant case, the applicant, who was subjected to treatment contrary to Article 4 and held in servitude, </w:t>
      </w:r>
      <w:r w:rsidR="009C5836" w:rsidRPr="00BB6E80">
        <w:t xml:space="preserve">was </w:t>
      </w:r>
      <w:r w:rsidR="00902A98" w:rsidRPr="00BB6E80">
        <w:t xml:space="preserve">not able to see </w:t>
      </w:r>
      <w:r w:rsidRPr="00BB6E80">
        <w:t>those responsible for th</w:t>
      </w:r>
      <w:r w:rsidR="00902A98" w:rsidRPr="00BB6E80">
        <w:t>e wrongdoing</w:t>
      </w:r>
      <w:r w:rsidRPr="00BB6E80">
        <w:t xml:space="preserve"> convicted under </w:t>
      </w:r>
      <w:r w:rsidR="00902A98" w:rsidRPr="00BB6E80">
        <w:t xml:space="preserve">the </w:t>
      </w:r>
      <w:r w:rsidRPr="00BB6E80">
        <w:t>criminal law.</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146</w:t>
      </w:r>
      <w:r w:rsidRPr="00BB6E80">
        <w:fldChar w:fldCharType="end"/>
      </w:r>
      <w:r w:rsidRPr="00BB6E80">
        <w:t>.  In th</w:t>
      </w:r>
      <w:r w:rsidR="009C5836" w:rsidRPr="00BB6E80">
        <w:t xml:space="preserve">is </w:t>
      </w:r>
      <w:r w:rsidRPr="00BB6E80">
        <w:t>connection, it notes that, as the Principal Public Prosecutor did not appeal on points of law against the Court of Appeal</w:t>
      </w:r>
      <w:r w:rsidR="00C63C92">
        <w:t>'</w:t>
      </w:r>
      <w:r w:rsidRPr="00BB6E80">
        <w:t xml:space="preserve">s judgment of </w:t>
      </w:r>
      <w:smartTag w:uri="urn:schemas-microsoft-com:office:smarttags" w:element="date">
        <w:smartTagPr>
          <w:attr w:name="Month" w:val="10"/>
          <w:attr w:name="Day" w:val="19"/>
          <w:attr w:name="Year" w:val="2000"/>
        </w:smartTagPr>
        <w:r w:rsidRPr="00BB6E80">
          <w:t>19 October 2000</w:t>
        </w:r>
      </w:smartTag>
      <w:r w:rsidRPr="00BB6E80">
        <w:t xml:space="preserve">, </w:t>
      </w:r>
      <w:r w:rsidR="00902A98" w:rsidRPr="00BB6E80">
        <w:t xml:space="preserve">the </w:t>
      </w:r>
      <w:r w:rsidRPr="00BB6E80">
        <w:t xml:space="preserve">appeal to the Court of Cassation </w:t>
      </w:r>
      <w:r w:rsidR="00902A98" w:rsidRPr="00BB6E80">
        <w:t>concerned</w:t>
      </w:r>
      <w:r w:rsidRPr="00BB6E80">
        <w:t xml:space="preserve"> only the civil aspect of the case and Mr and Mrs B.</w:t>
      </w:r>
      <w:r w:rsidR="00C63C92">
        <w:t>'</w:t>
      </w:r>
      <w:r w:rsidRPr="00BB6E80">
        <w:t>s acquittal thus became final.</w:t>
      </w:r>
    </w:p>
    <w:p w:rsidR="007A2F6F" w:rsidRPr="00BB6E80" w:rsidRDefault="007A2F6F" w:rsidP="00BB6E80">
      <w:pPr>
        <w:pStyle w:val="JuPara"/>
        <w:rPr>
          <w:szCs w:val="24"/>
        </w:rPr>
      </w:pPr>
      <w:r w:rsidRPr="00BB6E80">
        <w:fldChar w:fldCharType="begin"/>
      </w:r>
      <w:r w:rsidRPr="00BB6E80">
        <w:instrText xml:space="preserve"> SEQ level0 \*arabic </w:instrText>
      </w:r>
      <w:r w:rsidRPr="00BB6E80">
        <w:fldChar w:fldCharType="separate"/>
      </w:r>
      <w:r w:rsidR="00E97C1C">
        <w:rPr>
          <w:noProof/>
        </w:rPr>
        <w:t>147</w:t>
      </w:r>
      <w:r w:rsidRPr="00BB6E80">
        <w:fldChar w:fldCharType="end"/>
      </w:r>
      <w:r w:rsidRPr="00BB6E80">
        <w:t>.  In addition, according to the</w:t>
      </w:r>
      <w:r w:rsidR="009C5836" w:rsidRPr="00BB6E80">
        <w:t xml:space="preserve"> report of 12 December 2001 by the </w:t>
      </w:r>
      <w:r w:rsidRPr="00BB6E80">
        <w:t>French National Assembly</w:t>
      </w:r>
      <w:r w:rsidR="00C63C92">
        <w:t>'</w:t>
      </w:r>
      <w:r w:rsidRPr="00BB6E80">
        <w:t>s joint taskforce on the various forms of modern slavery</w:t>
      </w:r>
      <w:r w:rsidRPr="00BB6E80">
        <w:rPr>
          <w:szCs w:val="24"/>
        </w:rPr>
        <w:t xml:space="preserve">, Articles 225-13 and 225-14 of the Criminal Code, </w:t>
      </w:r>
      <w:r w:rsidR="00902A98" w:rsidRPr="00BB6E80">
        <w:rPr>
          <w:szCs w:val="24"/>
        </w:rPr>
        <w:t>as worded</w:t>
      </w:r>
      <w:r w:rsidRPr="00BB6E80">
        <w:rPr>
          <w:szCs w:val="24"/>
        </w:rPr>
        <w:t xml:space="preserve"> at the material time, were open to very differing interpretations from one court to the next, as </w:t>
      </w:r>
      <w:r w:rsidR="009C5836" w:rsidRPr="00BB6E80">
        <w:rPr>
          <w:szCs w:val="24"/>
        </w:rPr>
        <w:t xml:space="preserve">demonstrated by </w:t>
      </w:r>
      <w:r w:rsidRPr="00BB6E80">
        <w:rPr>
          <w:szCs w:val="24"/>
        </w:rPr>
        <w:t xml:space="preserve">this case, which, indeed, was referred to by the taskforce as an example of a case in which a court of appeal </w:t>
      </w:r>
      <w:r w:rsidR="00902A98" w:rsidRPr="00BB6E80">
        <w:rPr>
          <w:szCs w:val="24"/>
        </w:rPr>
        <w:t xml:space="preserve">had </w:t>
      </w:r>
      <w:r w:rsidRPr="00BB6E80">
        <w:rPr>
          <w:szCs w:val="24"/>
        </w:rPr>
        <w:t xml:space="preserve">unexpectedly </w:t>
      </w:r>
      <w:r w:rsidR="00902A98" w:rsidRPr="00BB6E80">
        <w:rPr>
          <w:szCs w:val="24"/>
        </w:rPr>
        <w:t xml:space="preserve">declined </w:t>
      </w:r>
      <w:r w:rsidR="0076696D">
        <w:rPr>
          <w:szCs w:val="24"/>
        </w:rPr>
        <w:t xml:space="preserve">to apply Articles </w:t>
      </w:r>
      <w:r w:rsidRPr="00BB6E80">
        <w:rPr>
          <w:szCs w:val="24"/>
        </w:rPr>
        <w:t>225-13 and 225-14.</w:t>
      </w:r>
    </w:p>
    <w:p w:rsidR="00C63C92" w:rsidRDefault="007A2F6F" w:rsidP="00BB6E80">
      <w:pPr>
        <w:pStyle w:val="JuPara"/>
        <w:rPr>
          <w:szCs w:val="24"/>
        </w:rPr>
      </w:pPr>
      <w:r w:rsidRPr="00BB6E80">
        <w:rPr>
          <w:szCs w:val="24"/>
        </w:rPr>
        <w:fldChar w:fldCharType="begin"/>
      </w:r>
      <w:r w:rsidRPr="00BB6E80">
        <w:rPr>
          <w:szCs w:val="24"/>
        </w:rPr>
        <w:instrText xml:space="preserve"> SEQ level0 \*arabic </w:instrText>
      </w:r>
      <w:r w:rsidRPr="00BB6E80">
        <w:rPr>
          <w:szCs w:val="24"/>
        </w:rPr>
        <w:fldChar w:fldCharType="separate"/>
      </w:r>
      <w:r w:rsidR="00E97C1C">
        <w:rPr>
          <w:noProof/>
          <w:szCs w:val="24"/>
        </w:rPr>
        <w:t>148</w:t>
      </w:r>
      <w:r w:rsidRPr="00BB6E80">
        <w:rPr>
          <w:szCs w:val="24"/>
        </w:rPr>
        <w:fldChar w:fldCharType="end"/>
      </w:r>
      <w:r w:rsidRPr="00BB6E80">
        <w:rPr>
          <w:szCs w:val="24"/>
        </w:rPr>
        <w:t xml:space="preserve">.  In those circumstances, the Court considers that the criminal-law legislation in force at the material time did not afford the applicant, a minor, </w:t>
      </w:r>
      <w:r w:rsidR="00902A98" w:rsidRPr="00BB6E80">
        <w:rPr>
          <w:szCs w:val="24"/>
        </w:rPr>
        <w:t xml:space="preserve">practical </w:t>
      </w:r>
      <w:r w:rsidRPr="00BB6E80">
        <w:rPr>
          <w:szCs w:val="24"/>
        </w:rPr>
        <w:t>and effective protection against the actions of which she was a victim.</w:t>
      </w:r>
    </w:p>
    <w:p w:rsidR="007A2F6F" w:rsidRPr="00BB6E80" w:rsidRDefault="007A2F6F" w:rsidP="00BB6E80">
      <w:pPr>
        <w:pStyle w:val="JuPara"/>
        <w:rPr>
          <w:szCs w:val="24"/>
        </w:rPr>
      </w:pPr>
      <w:r w:rsidRPr="00BB6E80">
        <w:rPr>
          <w:szCs w:val="24"/>
        </w:rPr>
        <w:t xml:space="preserve">It notes that the legislation has been changed but </w:t>
      </w:r>
      <w:r w:rsidR="00902A98" w:rsidRPr="00BB6E80">
        <w:rPr>
          <w:szCs w:val="24"/>
        </w:rPr>
        <w:t xml:space="preserve">the </w:t>
      </w:r>
      <w:r w:rsidRPr="00BB6E80">
        <w:rPr>
          <w:szCs w:val="24"/>
        </w:rPr>
        <w:t>amendments</w:t>
      </w:r>
      <w:r w:rsidR="00902A98" w:rsidRPr="00BB6E80">
        <w:rPr>
          <w:szCs w:val="24"/>
        </w:rPr>
        <w:t>, which were made subsequently,</w:t>
      </w:r>
      <w:r w:rsidRPr="00BB6E80">
        <w:rPr>
          <w:szCs w:val="24"/>
        </w:rPr>
        <w:t xml:space="preserve"> </w:t>
      </w:r>
      <w:r w:rsidR="00902A98" w:rsidRPr="00BB6E80">
        <w:rPr>
          <w:szCs w:val="24"/>
        </w:rPr>
        <w:t xml:space="preserve">were </w:t>
      </w:r>
      <w:r w:rsidRPr="00BB6E80">
        <w:rPr>
          <w:szCs w:val="24"/>
        </w:rPr>
        <w:t>not applicable to the applicant</w:t>
      </w:r>
      <w:r w:rsidR="00C63C92">
        <w:rPr>
          <w:szCs w:val="24"/>
        </w:rPr>
        <w:t>'</w:t>
      </w:r>
      <w:r w:rsidRPr="00BB6E80">
        <w:rPr>
          <w:szCs w:val="24"/>
        </w:rPr>
        <w:t>s situation.</w:t>
      </w:r>
    </w:p>
    <w:p w:rsidR="007A2F6F" w:rsidRPr="00BB6E80" w:rsidRDefault="007A2F6F" w:rsidP="00BB6E80">
      <w:pPr>
        <w:pStyle w:val="JuPara"/>
      </w:pPr>
      <w:r w:rsidRPr="00BB6E80">
        <w:t>It emphasises that the increasingly high standard being required in the area of the protection of human rights and fundamental liberties correspondingly and inevitably requires greater firmness in assessing breaches of the fundamental value</w:t>
      </w:r>
      <w:r w:rsidR="00556FF0">
        <w:t>s of democratic societies (see paragraph</w:t>
      </w:r>
      <w:r w:rsidRPr="00BB6E80">
        <w:t xml:space="preserve"> 121 above).</w:t>
      </w:r>
    </w:p>
    <w:p w:rsidR="007A2F6F" w:rsidRPr="00BB6E80" w:rsidRDefault="007A2F6F" w:rsidP="00BB6E80">
      <w:pPr>
        <w:pStyle w:val="JuPara"/>
      </w:pPr>
      <w:r w:rsidRPr="00BB6E80">
        <w:rPr>
          <w:szCs w:val="24"/>
        </w:rPr>
        <w:fldChar w:fldCharType="begin"/>
      </w:r>
      <w:r w:rsidRPr="00BB6E80">
        <w:rPr>
          <w:szCs w:val="24"/>
        </w:rPr>
        <w:instrText xml:space="preserve"> SEQ level0 \*arabic </w:instrText>
      </w:r>
      <w:r w:rsidRPr="00BB6E80">
        <w:rPr>
          <w:szCs w:val="24"/>
        </w:rPr>
        <w:fldChar w:fldCharType="separate"/>
      </w:r>
      <w:r w:rsidR="00E97C1C">
        <w:rPr>
          <w:noProof/>
          <w:szCs w:val="24"/>
        </w:rPr>
        <w:t>149</w:t>
      </w:r>
      <w:r w:rsidRPr="00BB6E80">
        <w:rPr>
          <w:szCs w:val="24"/>
        </w:rPr>
        <w:fldChar w:fldCharType="end"/>
      </w:r>
      <w:r w:rsidRPr="00BB6E80">
        <w:rPr>
          <w:szCs w:val="24"/>
        </w:rPr>
        <w:t>.  The Court thus finds that in the present case there has been a violation of the respondent State</w:t>
      </w:r>
      <w:r w:rsidR="00C63C92">
        <w:rPr>
          <w:szCs w:val="24"/>
        </w:rPr>
        <w:t>'</w:t>
      </w:r>
      <w:r w:rsidRPr="00BB6E80">
        <w:rPr>
          <w:szCs w:val="24"/>
        </w:rPr>
        <w:t>s positive obligations under Article 4 of the Convention.</w:t>
      </w:r>
    </w:p>
    <w:p w:rsidR="007A2F6F" w:rsidRPr="0085722A" w:rsidRDefault="007A2F6F" w:rsidP="00ED64B2">
      <w:pPr>
        <w:pStyle w:val="JuHIRoman"/>
        <w:spacing w:line="360" w:lineRule="auto"/>
      </w:pPr>
      <w:r w:rsidRPr="0085722A">
        <w:t>II.  APPLICATION OF ARTICLE 41 OF THE CONVENTION</w:t>
      </w:r>
    </w:p>
    <w:p w:rsidR="007A2F6F" w:rsidRPr="0085722A" w:rsidRDefault="007A2F6F" w:rsidP="00ED64B2">
      <w:pPr>
        <w:pStyle w:val="JuPara"/>
        <w:keepNext/>
        <w:keepLines/>
        <w:spacing w:line="360" w:lineRule="auto"/>
      </w:pPr>
      <w:r w:rsidRPr="0085722A">
        <w:fldChar w:fldCharType="begin"/>
      </w:r>
      <w:r w:rsidRPr="0085722A">
        <w:instrText xml:space="preserve"> SEQ level0 \*arabic </w:instrText>
      </w:r>
      <w:r w:rsidRPr="0085722A">
        <w:fldChar w:fldCharType="separate"/>
      </w:r>
      <w:r w:rsidR="00E97C1C">
        <w:rPr>
          <w:noProof/>
        </w:rPr>
        <w:t>150</w:t>
      </w:r>
      <w:r w:rsidRPr="0085722A">
        <w:fldChar w:fldCharType="end"/>
      </w:r>
      <w:r w:rsidRPr="0085722A">
        <w:t>.  </w:t>
      </w:r>
      <w:r w:rsidR="00556FF0">
        <w:t>Article 41 of the Convention provides:</w:t>
      </w:r>
    </w:p>
    <w:p w:rsidR="00C63C92" w:rsidRDefault="007A2F6F" w:rsidP="00BB6E80">
      <w:pPr>
        <w:pStyle w:val="JuQuot"/>
      </w:pPr>
      <w:r w:rsidRPr="00BB6E80">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7A2F6F" w:rsidRPr="0085722A" w:rsidRDefault="007A2F6F" w:rsidP="00ED64B2">
      <w:pPr>
        <w:pStyle w:val="JuHA"/>
        <w:spacing w:line="360" w:lineRule="auto"/>
      </w:pPr>
      <w:r w:rsidRPr="0085722A">
        <w:t>A.  Damage</w:t>
      </w:r>
    </w:p>
    <w:p w:rsidR="007A2F6F" w:rsidRPr="0085722A" w:rsidRDefault="007A2F6F" w:rsidP="00ED64B2">
      <w:pPr>
        <w:pStyle w:val="JuPara"/>
        <w:spacing w:line="360" w:lineRule="auto"/>
      </w:pPr>
      <w:r w:rsidRPr="0085722A">
        <w:fldChar w:fldCharType="begin"/>
      </w:r>
      <w:r w:rsidRPr="0085722A">
        <w:instrText xml:space="preserve"> SEQ level0 \*arabic </w:instrText>
      </w:r>
      <w:r w:rsidRPr="0085722A">
        <w:fldChar w:fldCharType="separate"/>
      </w:r>
      <w:r w:rsidR="00E97C1C">
        <w:rPr>
          <w:noProof/>
        </w:rPr>
        <w:t>151</w:t>
      </w:r>
      <w:r w:rsidRPr="0085722A">
        <w:fldChar w:fldCharType="end"/>
      </w:r>
      <w:r w:rsidRPr="0085722A">
        <w:t>.  The applicant did not make a claim in respect of damage.</w:t>
      </w:r>
    </w:p>
    <w:p w:rsidR="007A2F6F" w:rsidRPr="0085722A" w:rsidRDefault="007A2F6F" w:rsidP="00ED64B2">
      <w:pPr>
        <w:pStyle w:val="JuHA"/>
        <w:spacing w:line="360" w:lineRule="auto"/>
      </w:pPr>
      <w:r w:rsidRPr="0085722A">
        <w:t>B.  Costs and expenses</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152</w:t>
      </w:r>
      <w:r w:rsidRPr="00BB6E80">
        <w:fldChar w:fldCharType="end"/>
      </w:r>
      <w:r w:rsidRPr="00BB6E80">
        <w:t xml:space="preserve">.  The applicant sought 26,209.69 </w:t>
      </w:r>
      <w:r w:rsidR="00556FF0">
        <w:t xml:space="preserve">euros </w:t>
      </w:r>
      <w:r w:rsidRPr="00BB6E80">
        <w:t>for the costs of legal representation, from which the sums received by way of legal aid</w:t>
      </w:r>
      <w:r w:rsidR="009C5836" w:rsidRPr="00BB6E80">
        <w:t xml:space="preserve"> were to be deducted</w:t>
      </w:r>
      <w:r w:rsidRPr="00BB6E80">
        <w:t>.</w:t>
      </w:r>
    </w:p>
    <w:p w:rsidR="00C63C92"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153</w:t>
      </w:r>
      <w:r w:rsidRPr="00BB6E80">
        <w:fldChar w:fldCharType="end"/>
      </w:r>
      <w:r w:rsidRPr="00BB6E80">
        <w:t>.  The Government first observed that the applicant had not produced any evidence that she had paid this sum.</w:t>
      </w:r>
    </w:p>
    <w:p w:rsidR="00C63C92" w:rsidRDefault="007A2F6F" w:rsidP="00BB6E80">
      <w:pPr>
        <w:pStyle w:val="JuPara"/>
      </w:pPr>
      <w:r w:rsidRPr="00BB6E80">
        <w:t>They also considered that the amount sought was excessive and should be reduced to a more reasonable level.</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154</w:t>
      </w:r>
      <w:r w:rsidRPr="00BB6E80">
        <w:fldChar w:fldCharType="end"/>
      </w:r>
      <w:r w:rsidRPr="00BB6E80">
        <w:t>.  The Court considers that the applicant</w:t>
      </w:r>
      <w:r w:rsidR="00C63C92">
        <w:t>'</w:t>
      </w:r>
      <w:r w:rsidRPr="00BB6E80">
        <w:t>s representative has undoubtedly done a considerable amount of work in order to submit and argue this application, which concerns an area in which there is very little case-law to date.</w:t>
      </w:r>
    </w:p>
    <w:p w:rsidR="00C63C92" w:rsidRDefault="007A2F6F" w:rsidP="00BB6E80">
      <w:pPr>
        <w:pStyle w:val="JuPara"/>
      </w:pPr>
      <w:r w:rsidRPr="00BB6E80">
        <w:t>In those circumstances, the Court, ruling on an equitable basis, awards the applicant the entire amount claimed in costs.</w:t>
      </w:r>
    </w:p>
    <w:p w:rsidR="007A2F6F" w:rsidRPr="0085722A" w:rsidRDefault="007A2F6F" w:rsidP="00ED64B2">
      <w:pPr>
        <w:pStyle w:val="JuHA"/>
        <w:spacing w:line="360" w:lineRule="auto"/>
      </w:pPr>
      <w:r w:rsidRPr="0085722A">
        <w:t>C.  Default interest</w:t>
      </w:r>
    </w:p>
    <w:p w:rsidR="007A2F6F" w:rsidRPr="00BB6E80" w:rsidRDefault="007A2F6F" w:rsidP="00BB6E80">
      <w:pPr>
        <w:pStyle w:val="JuPara"/>
      </w:pPr>
      <w:r w:rsidRPr="00BB6E80">
        <w:fldChar w:fldCharType="begin"/>
      </w:r>
      <w:r w:rsidRPr="00BB6E80">
        <w:instrText xml:space="preserve"> SEQ level0 \*arabic </w:instrText>
      </w:r>
      <w:r w:rsidRPr="00BB6E80">
        <w:fldChar w:fldCharType="separate"/>
      </w:r>
      <w:r w:rsidR="00E97C1C">
        <w:rPr>
          <w:noProof/>
        </w:rPr>
        <w:t>155</w:t>
      </w:r>
      <w:r w:rsidRPr="00BB6E80">
        <w:fldChar w:fldCharType="end"/>
      </w:r>
      <w:r w:rsidRPr="00BB6E80">
        <w:t>.  The Court considers it appropriate that the default interest should be based on an annual rate equal to the marginal lending rate of the European Central Bank, to which should be added three percentage points.</w:t>
      </w:r>
    </w:p>
    <w:p w:rsidR="007A2F6F" w:rsidRPr="0085722A" w:rsidRDefault="007A2F6F" w:rsidP="00ED64B2">
      <w:pPr>
        <w:pStyle w:val="JuHHead"/>
        <w:spacing w:line="360" w:lineRule="auto"/>
      </w:pPr>
      <w:r w:rsidRPr="0085722A">
        <w:t>FOR THESE</w:t>
      </w:r>
      <w:r w:rsidR="00556FF0">
        <w:t xml:space="preserve"> REASONS, THE COURT UNANIMOUSLY</w:t>
      </w:r>
    </w:p>
    <w:p w:rsidR="007A2F6F" w:rsidRDefault="007A2F6F" w:rsidP="00BB6E80">
      <w:pPr>
        <w:pStyle w:val="JuList"/>
      </w:pPr>
      <w:r w:rsidRPr="0085722A">
        <w:t>1.  </w:t>
      </w:r>
      <w:r w:rsidRPr="0085722A">
        <w:rPr>
          <w:i/>
        </w:rPr>
        <w:t xml:space="preserve">Dismisses </w:t>
      </w:r>
      <w:r w:rsidRPr="0085722A">
        <w:t>the Government</w:t>
      </w:r>
      <w:r w:rsidR="00C63C92">
        <w:t>'</w:t>
      </w:r>
      <w:r w:rsidRPr="0085722A">
        <w:t>s preliminary objection based on the applicant</w:t>
      </w:r>
      <w:r w:rsidR="00C63C92">
        <w:t>'</w:t>
      </w:r>
      <w:r w:rsidRPr="0085722A">
        <w:t>s loss of victim status;</w:t>
      </w:r>
    </w:p>
    <w:p w:rsidR="007A2F6F" w:rsidRDefault="007A2F6F" w:rsidP="00BB6E80">
      <w:pPr>
        <w:pStyle w:val="JuList"/>
      </w:pPr>
      <w:r w:rsidRPr="0085722A">
        <w:t>2.  </w:t>
      </w:r>
      <w:r w:rsidRPr="0085722A">
        <w:rPr>
          <w:i/>
        </w:rPr>
        <w:t xml:space="preserve">Holds </w:t>
      </w:r>
      <w:r w:rsidRPr="0085722A">
        <w:t>that there has been a violation of Article 4 of the Convention;</w:t>
      </w:r>
    </w:p>
    <w:p w:rsidR="00556FF0" w:rsidRPr="0085722A" w:rsidRDefault="00556FF0" w:rsidP="00BB6E80">
      <w:pPr>
        <w:pStyle w:val="JuList"/>
      </w:pPr>
    </w:p>
    <w:p w:rsidR="007A2F6F" w:rsidRPr="0085722A" w:rsidRDefault="007A2F6F" w:rsidP="00BB6E80">
      <w:pPr>
        <w:pStyle w:val="JuList"/>
      </w:pPr>
      <w:r w:rsidRPr="0085722A">
        <w:t>3.  </w:t>
      </w:r>
      <w:r w:rsidRPr="0085722A">
        <w:rPr>
          <w:i/>
        </w:rPr>
        <w:t>Holds</w:t>
      </w:r>
      <w:r w:rsidRPr="0085722A">
        <w:t>:</w:t>
      </w:r>
    </w:p>
    <w:p w:rsidR="007A2F6F" w:rsidRPr="0085722A" w:rsidRDefault="007A2F6F" w:rsidP="00BB6E80">
      <w:pPr>
        <w:pStyle w:val="JuList"/>
      </w:pPr>
      <w:r w:rsidRPr="0085722A">
        <w:t>(a)  that the respondent State is to pay the applicant, within three months from the date on which the judgment bec</w:t>
      </w:r>
      <w:r w:rsidR="0076696D">
        <w:t xml:space="preserve">omes final according to Article 44 § </w:t>
      </w:r>
      <w:r w:rsidRPr="0085722A">
        <w:t>2 of the Convention, EUR 26,209.69 (twenty-six thousand two hundred and nine euros sixty-nine cents) in respect of costs and expenses, plus any tax that may be chargeable;</w:t>
      </w:r>
    </w:p>
    <w:p w:rsidR="007A2F6F" w:rsidRPr="0085722A" w:rsidRDefault="007A2F6F" w:rsidP="00BB6E80">
      <w:pPr>
        <w:pStyle w:val="JuList"/>
      </w:pPr>
      <w:r w:rsidRPr="0085722A">
        <w:t>(b)  that the sums received by way of legal aid are to be deducted from that amount;</w:t>
      </w:r>
    </w:p>
    <w:p w:rsidR="007A2F6F" w:rsidRDefault="007A2F6F" w:rsidP="00BB6E80">
      <w:pPr>
        <w:pStyle w:val="JuList"/>
      </w:pPr>
      <w:r w:rsidRPr="0085722A">
        <w:t xml:space="preserve">(c)  that from the expiry of the above-mentioned three months until settlement simple interest shall be payable on the above amount at a rate equal to the marginal lending rate of the European Central Bank during the default period </w:t>
      </w:r>
      <w:r w:rsidR="009E3A71">
        <w:t>plus</w:t>
      </w:r>
      <w:r w:rsidRPr="0085722A">
        <w:t xml:space="preserve"> three percentage points.</w:t>
      </w:r>
    </w:p>
    <w:p w:rsidR="00556FF0" w:rsidRPr="0085722A" w:rsidRDefault="00556FF0" w:rsidP="00BB6E80">
      <w:pPr>
        <w:pStyle w:val="JuList"/>
      </w:pPr>
    </w:p>
    <w:p w:rsidR="007A2F6F" w:rsidRPr="0085722A" w:rsidRDefault="007A2F6F" w:rsidP="00BB6E80">
      <w:pPr>
        <w:pStyle w:val="JuPara"/>
      </w:pPr>
      <w:r w:rsidRPr="0085722A">
        <w:t>Done in French, and notified in writing on 26 July 2005</w:t>
      </w:r>
      <w:r w:rsidR="008413AE">
        <w:t>,</w:t>
      </w:r>
      <w:r w:rsidRPr="0085722A">
        <w:t xml:space="preserve"> pursuant to Rule 77 §§ 2 and 3 of the Rules of Court.</w:t>
      </w:r>
    </w:p>
    <w:p w:rsidR="007A2F6F" w:rsidRPr="00556FF0" w:rsidRDefault="00556FF0" w:rsidP="00556FF0">
      <w:pPr>
        <w:pStyle w:val="JuSigned"/>
        <w:ind w:left="142" w:hanging="142"/>
      </w:pPr>
      <w:r w:rsidRPr="00556FF0">
        <w:rPr>
          <w:lang w:val="es-ES"/>
        </w:rPr>
        <w:t>S</w:t>
      </w:r>
      <w:r w:rsidRPr="00556FF0">
        <w:rPr>
          <w:szCs w:val="24"/>
          <w:lang w:val="es-ES"/>
        </w:rPr>
        <w:t>tanley</w:t>
      </w:r>
      <w:r w:rsidR="007A2F6F" w:rsidRPr="00556FF0">
        <w:rPr>
          <w:lang w:val="es-ES"/>
        </w:rPr>
        <w:t xml:space="preserve"> </w:t>
      </w:r>
      <w:r w:rsidR="007A2F6F" w:rsidRPr="00556FF0">
        <w:rPr>
          <w:rStyle w:val="JuNames"/>
          <w:smallCaps w:val="0"/>
          <w:lang w:val="es-ES"/>
        </w:rPr>
        <w:t>N</w:t>
      </w:r>
      <w:r w:rsidRPr="00556FF0">
        <w:rPr>
          <w:rStyle w:val="JuNames"/>
          <w:smallCaps w:val="0"/>
          <w:sz w:val="20"/>
          <w:lang w:val="es-ES"/>
        </w:rPr>
        <w:t>AISMITH</w:t>
      </w:r>
      <w:r w:rsidRPr="00556FF0">
        <w:rPr>
          <w:lang w:val="es-ES"/>
        </w:rPr>
        <w:tab/>
        <w:t>I</w:t>
      </w:r>
      <w:r w:rsidRPr="00556FF0">
        <w:rPr>
          <w:szCs w:val="24"/>
          <w:lang w:val="es-ES"/>
        </w:rPr>
        <w:t>reneu</w:t>
      </w:r>
      <w:r w:rsidR="007A2F6F" w:rsidRPr="00556FF0">
        <w:rPr>
          <w:szCs w:val="24"/>
          <w:lang w:val="es-ES"/>
        </w:rPr>
        <w:t xml:space="preserve"> </w:t>
      </w:r>
      <w:r w:rsidR="007A2F6F" w:rsidRPr="00556FF0">
        <w:rPr>
          <w:rStyle w:val="JuNames"/>
          <w:smallCaps w:val="0"/>
          <w:lang w:val="es-ES"/>
        </w:rPr>
        <w:t>C</w:t>
      </w:r>
      <w:r w:rsidRPr="00556FF0">
        <w:rPr>
          <w:rStyle w:val="JuNames"/>
          <w:smallCaps w:val="0"/>
          <w:sz w:val="20"/>
          <w:lang w:val="es-ES"/>
        </w:rPr>
        <w:t>ABRAL</w:t>
      </w:r>
      <w:r w:rsidRPr="00556FF0">
        <w:rPr>
          <w:rStyle w:val="JuNames"/>
          <w:smallCaps w:val="0"/>
          <w:lang w:val="es-ES"/>
        </w:rPr>
        <w:t xml:space="preserve"> B</w:t>
      </w:r>
      <w:r w:rsidRPr="00556FF0">
        <w:rPr>
          <w:rStyle w:val="JuNames"/>
          <w:smallCaps w:val="0"/>
          <w:sz w:val="20"/>
          <w:lang w:val="es-ES"/>
        </w:rPr>
        <w:t>ARRETO</w:t>
      </w:r>
      <w:r w:rsidRPr="00556FF0">
        <w:br/>
      </w:r>
      <w:r>
        <w:t>Deputy Registrar</w:t>
      </w:r>
      <w:r>
        <w:tab/>
      </w:r>
      <w:r w:rsidR="007A2F6F" w:rsidRPr="00556FF0">
        <w:t>President</w:t>
      </w:r>
    </w:p>
    <w:sectPr w:rsidR="007A2F6F" w:rsidRPr="00556FF0" w:rsidSect="00094E42">
      <w:footnotePr>
        <w:numRestart w:val="eachPage"/>
      </w:footnotePr>
      <w:type w:val="continuous"/>
      <w:pgSz w:w="11906" w:h="16838" w:code="9"/>
      <w:pgMar w:top="2274" w:right="2274" w:bottom="2274" w:left="2274" w:header="1701"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44" w:rsidRDefault="004A1A44">
      <w:r>
        <w:separator/>
      </w:r>
    </w:p>
  </w:endnote>
  <w:endnote w:type="continuationSeparator" w:id="0">
    <w:p w:rsidR="004A1A44" w:rsidRDefault="004A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44" w:rsidRDefault="004A1A44">
      <w:r>
        <w:separator/>
      </w:r>
    </w:p>
  </w:footnote>
  <w:footnote w:type="continuationSeparator" w:id="0">
    <w:p w:rsidR="004A1A44" w:rsidRDefault="004A1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44" w:rsidRDefault="004A1A44">
    <w:pPr>
      <w:pStyle w:val="JuHeader"/>
    </w:pPr>
    <w:r>
      <w:rPr>
        <w:rStyle w:val="PageNumber"/>
      </w:rPr>
      <w:fldChar w:fldCharType="begin"/>
    </w:r>
    <w:r>
      <w:rPr>
        <w:rStyle w:val="PageNumber"/>
      </w:rPr>
      <w:instrText xml:space="preserve"> PAGE </w:instrText>
    </w:r>
    <w:r>
      <w:rPr>
        <w:rStyle w:val="PageNumber"/>
      </w:rPr>
      <w:fldChar w:fldCharType="separate"/>
    </w:r>
    <w:r w:rsidR="00E97C1C">
      <w:rPr>
        <w:rStyle w:val="PageNumber"/>
        <w:noProof/>
      </w:rPr>
      <w:t>21</w:t>
    </w:r>
    <w:r>
      <w:rPr>
        <w:rStyle w:val="PageNumber"/>
      </w:rPr>
      <w:fldChar w:fldCharType="end"/>
    </w:r>
    <w:r>
      <w:tab/>
      <w:t xml:space="preserve">SILIADIN v. </w:t>
    </w:r>
    <w:smartTag w:uri="urn:schemas-microsoft-com:office:smarttags" w:element="place">
      <w:smartTag w:uri="urn:schemas-microsoft-com:office:smarttags" w:element="country-region">
        <w:r>
          <w:t>FRANCE</w:t>
        </w:r>
      </w:smartTag>
    </w:smartTag>
    <w:r>
      <w:t xml:space="preserve"> JUDGMENT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44" w:rsidRDefault="004A1A44">
    <w:pPr>
      <w:pStyle w:val="JuHeader"/>
      <w:rPr>
        <w:rStyle w:val="PageNumber"/>
      </w:rPr>
    </w:pPr>
    <w:r>
      <w:tab/>
      <w:t xml:space="preserve">SILIADIN v. </w:t>
    </w:r>
    <w:smartTag w:uri="urn:schemas-microsoft-com:office:smarttags" w:element="place">
      <w:smartTag w:uri="urn:schemas-microsoft-com:office:smarttags" w:element="country-region">
        <w:r>
          <w:t>FRANCE</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A80665">
      <w:rPr>
        <w:rStyle w:val="PageNumber"/>
        <w:noProof/>
      </w:rPr>
      <w:t>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42" w:rsidRDefault="00E97C1C" w:rsidP="00094E42">
    <w:pPr>
      <w:pStyle w:val="Header"/>
      <w:jc w:val="center"/>
    </w:pPr>
    <w:r>
      <w:rPr>
        <w:noProof/>
        <w:lang w:eastAsia="en-GB"/>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094E42" w:rsidRPr="000F0860" w:rsidRDefault="00094E42" w:rsidP="00094E42">
    <w:pPr>
      <w:pStyle w:val="Header"/>
      <w:jc w:val="center"/>
    </w:pPr>
  </w:p>
  <w:p w:rsidR="00094E42" w:rsidRDefault="00094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F8B"/>
    <w:rsid w:val="000012DA"/>
    <w:rsid w:val="00006E32"/>
    <w:rsid w:val="000436ED"/>
    <w:rsid w:val="00085109"/>
    <w:rsid w:val="00094E42"/>
    <w:rsid w:val="000C5228"/>
    <w:rsid w:val="000C6E86"/>
    <w:rsid w:val="000C7159"/>
    <w:rsid w:val="000E1645"/>
    <w:rsid w:val="000F5861"/>
    <w:rsid w:val="00111A21"/>
    <w:rsid w:val="00113022"/>
    <w:rsid w:val="001213A3"/>
    <w:rsid w:val="00124DE8"/>
    <w:rsid w:val="00136071"/>
    <w:rsid w:val="001405DC"/>
    <w:rsid w:val="00157C7F"/>
    <w:rsid w:val="00180C59"/>
    <w:rsid w:val="001A5F89"/>
    <w:rsid w:val="001B5A87"/>
    <w:rsid w:val="001B73F7"/>
    <w:rsid w:val="001E44AA"/>
    <w:rsid w:val="001F38CA"/>
    <w:rsid w:val="0020132B"/>
    <w:rsid w:val="00206284"/>
    <w:rsid w:val="00245B8E"/>
    <w:rsid w:val="00250556"/>
    <w:rsid w:val="00267BF8"/>
    <w:rsid w:val="00283F8B"/>
    <w:rsid w:val="00292862"/>
    <w:rsid w:val="002C1DE0"/>
    <w:rsid w:val="002C605E"/>
    <w:rsid w:val="002D5258"/>
    <w:rsid w:val="00300092"/>
    <w:rsid w:val="00310A22"/>
    <w:rsid w:val="00313CFF"/>
    <w:rsid w:val="00320876"/>
    <w:rsid w:val="0032554A"/>
    <w:rsid w:val="00327DED"/>
    <w:rsid w:val="00333B13"/>
    <w:rsid w:val="003470BA"/>
    <w:rsid w:val="0035041C"/>
    <w:rsid w:val="00352356"/>
    <w:rsid w:val="003536AC"/>
    <w:rsid w:val="00356FF5"/>
    <w:rsid w:val="00373F63"/>
    <w:rsid w:val="00376468"/>
    <w:rsid w:val="003802C0"/>
    <w:rsid w:val="00381475"/>
    <w:rsid w:val="0039117A"/>
    <w:rsid w:val="003B5B61"/>
    <w:rsid w:val="003D01BF"/>
    <w:rsid w:val="003E5B66"/>
    <w:rsid w:val="003F764E"/>
    <w:rsid w:val="00460FA6"/>
    <w:rsid w:val="00492710"/>
    <w:rsid w:val="004A1A44"/>
    <w:rsid w:val="004B54D0"/>
    <w:rsid w:val="004C3E82"/>
    <w:rsid w:val="004C521E"/>
    <w:rsid w:val="004D0504"/>
    <w:rsid w:val="004D1C7F"/>
    <w:rsid w:val="004F1FB8"/>
    <w:rsid w:val="00553DBB"/>
    <w:rsid w:val="00556FF0"/>
    <w:rsid w:val="00563C11"/>
    <w:rsid w:val="005745F5"/>
    <w:rsid w:val="005803E1"/>
    <w:rsid w:val="00587536"/>
    <w:rsid w:val="005877BE"/>
    <w:rsid w:val="005C067B"/>
    <w:rsid w:val="005C146E"/>
    <w:rsid w:val="005C562F"/>
    <w:rsid w:val="005F5E90"/>
    <w:rsid w:val="0060220C"/>
    <w:rsid w:val="00634C10"/>
    <w:rsid w:val="006468F1"/>
    <w:rsid w:val="00650364"/>
    <w:rsid w:val="00661A06"/>
    <w:rsid w:val="00665367"/>
    <w:rsid w:val="00676C5D"/>
    <w:rsid w:val="00682202"/>
    <w:rsid w:val="006A5017"/>
    <w:rsid w:val="006A6907"/>
    <w:rsid w:val="006B4FE9"/>
    <w:rsid w:val="006C7D24"/>
    <w:rsid w:val="006E1C37"/>
    <w:rsid w:val="006E5350"/>
    <w:rsid w:val="00716079"/>
    <w:rsid w:val="007221DA"/>
    <w:rsid w:val="0072703B"/>
    <w:rsid w:val="00756A21"/>
    <w:rsid w:val="007663F7"/>
    <w:rsid w:val="0076696D"/>
    <w:rsid w:val="007815D2"/>
    <w:rsid w:val="00783B7C"/>
    <w:rsid w:val="0079559F"/>
    <w:rsid w:val="007A2F6F"/>
    <w:rsid w:val="007D2983"/>
    <w:rsid w:val="007D2E22"/>
    <w:rsid w:val="007D314E"/>
    <w:rsid w:val="007D3D2D"/>
    <w:rsid w:val="007E10F3"/>
    <w:rsid w:val="007E54B6"/>
    <w:rsid w:val="007E77F4"/>
    <w:rsid w:val="00802328"/>
    <w:rsid w:val="00804042"/>
    <w:rsid w:val="00823BFA"/>
    <w:rsid w:val="008379CA"/>
    <w:rsid w:val="008413AE"/>
    <w:rsid w:val="0085722A"/>
    <w:rsid w:val="00870608"/>
    <w:rsid w:val="008A1972"/>
    <w:rsid w:val="008E36F2"/>
    <w:rsid w:val="008F4DFB"/>
    <w:rsid w:val="00902A98"/>
    <w:rsid w:val="00903A34"/>
    <w:rsid w:val="009043D8"/>
    <w:rsid w:val="0091562A"/>
    <w:rsid w:val="00952357"/>
    <w:rsid w:val="009607CB"/>
    <w:rsid w:val="00974FC3"/>
    <w:rsid w:val="00986C30"/>
    <w:rsid w:val="009A0233"/>
    <w:rsid w:val="009A7A93"/>
    <w:rsid w:val="009C5836"/>
    <w:rsid w:val="009D3EE3"/>
    <w:rsid w:val="009E3A71"/>
    <w:rsid w:val="00A000C7"/>
    <w:rsid w:val="00A16917"/>
    <w:rsid w:val="00A27D16"/>
    <w:rsid w:val="00A35BD7"/>
    <w:rsid w:val="00A42E1B"/>
    <w:rsid w:val="00A527A6"/>
    <w:rsid w:val="00A614A7"/>
    <w:rsid w:val="00A76F5E"/>
    <w:rsid w:val="00A80665"/>
    <w:rsid w:val="00A85CDA"/>
    <w:rsid w:val="00A94AB3"/>
    <w:rsid w:val="00AB193C"/>
    <w:rsid w:val="00AD4AB9"/>
    <w:rsid w:val="00AF139E"/>
    <w:rsid w:val="00B03D5B"/>
    <w:rsid w:val="00B1466A"/>
    <w:rsid w:val="00B16B18"/>
    <w:rsid w:val="00B17EC7"/>
    <w:rsid w:val="00B3700B"/>
    <w:rsid w:val="00B71C55"/>
    <w:rsid w:val="00B97214"/>
    <w:rsid w:val="00BA30DB"/>
    <w:rsid w:val="00BA4F6F"/>
    <w:rsid w:val="00BB6E80"/>
    <w:rsid w:val="00BD3601"/>
    <w:rsid w:val="00BF00F9"/>
    <w:rsid w:val="00BF2630"/>
    <w:rsid w:val="00BF2840"/>
    <w:rsid w:val="00BF4171"/>
    <w:rsid w:val="00BF49BF"/>
    <w:rsid w:val="00C10EDE"/>
    <w:rsid w:val="00C12F67"/>
    <w:rsid w:val="00C21523"/>
    <w:rsid w:val="00C26244"/>
    <w:rsid w:val="00C33B4A"/>
    <w:rsid w:val="00C34A96"/>
    <w:rsid w:val="00C42BB2"/>
    <w:rsid w:val="00C43AEE"/>
    <w:rsid w:val="00C51932"/>
    <w:rsid w:val="00C54F03"/>
    <w:rsid w:val="00C556BA"/>
    <w:rsid w:val="00C57587"/>
    <w:rsid w:val="00C63C92"/>
    <w:rsid w:val="00C8619D"/>
    <w:rsid w:val="00C96A0A"/>
    <w:rsid w:val="00CA581E"/>
    <w:rsid w:val="00CD49A7"/>
    <w:rsid w:val="00CE293A"/>
    <w:rsid w:val="00CF19B3"/>
    <w:rsid w:val="00D015AA"/>
    <w:rsid w:val="00D02611"/>
    <w:rsid w:val="00D35E1B"/>
    <w:rsid w:val="00D71FB9"/>
    <w:rsid w:val="00D751F4"/>
    <w:rsid w:val="00D90F55"/>
    <w:rsid w:val="00DC20FF"/>
    <w:rsid w:val="00DD0E35"/>
    <w:rsid w:val="00DE5D14"/>
    <w:rsid w:val="00DF617D"/>
    <w:rsid w:val="00E21EFE"/>
    <w:rsid w:val="00E330FD"/>
    <w:rsid w:val="00E850DB"/>
    <w:rsid w:val="00E9311D"/>
    <w:rsid w:val="00E95550"/>
    <w:rsid w:val="00E959FF"/>
    <w:rsid w:val="00E97C1C"/>
    <w:rsid w:val="00EC06DB"/>
    <w:rsid w:val="00ED64B2"/>
    <w:rsid w:val="00EF5B28"/>
    <w:rsid w:val="00F12CBD"/>
    <w:rsid w:val="00F41B1E"/>
    <w:rsid w:val="00F41BC2"/>
    <w:rsid w:val="00F42695"/>
    <w:rsid w:val="00F43833"/>
    <w:rsid w:val="00F43F27"/>
    <w:rsid w:val="00F843B7"/>
    <w:rsid w:val="00F87F77"/>
    <w:rsid w:val="00F92A55"/>
    <w:rsid w:val="00FA439A"/>
    <w:rsid w:val="00FB4A91"/>
    <w:rsid w:val="00FB6E78"/>
    <w:rsid w:val="00FC2966"/>
    <w:rsid w:val="00FD2792"/>
    <w:rsid w:val="00FE08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ersonName"/>
  <w:smartTagType w:namespaceuri="urn:schemas-microsoft-com:office:smarttags" w:name="tim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link w:val="JuHIRomanChar"/>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link w:val="JuHAChar"/>
    <w:rsid w:val="007D2983"/>
    <w:pPr>
      <w:tabs>
        <w:tab w:val="clear" w:pos="357"/>
        <w:tab w:val="left" w:pos="584"/>
      </w:tabs>
      <w:ind w:left="584" w:hanging="352"/>
    </w:pPr>
    <w:rPr>
      <w:b/>
    </w:rPr>
  </w:style>
  <w:style w:type="paragraph" w:customStyle="1" w:styleId="JuQuot">
    <w:name w:val="Ju_Quot"/>
    <w:basedOn w:val="JuPara"/>
    <w:link w:val="JuQuotChar"/>
    <w:rsid w:val="007D2983"/>
    <w:pPr>
      <w:spacing w:before="120" w:after="120"/>
      <w:ind w:left="425" w:firstLine="142"/>
    </w:pPr>
    <w:rPr>
      <w:sz w:val="20"/>
    </w:rPr>
  </w:style>
  <w:style w:type="paragraph" w:customStyle="1" w:styleId="JuSigned">
    <w:name w:val="Ju_Signed"/>
    <w:basedOn w:val="Normal"/>
    <w:next w:val="JuParaLast"/>
    <w:rsid w:val="00267BF8"/>
    <w:pPr>
      <w:tabs>
        <w:tab w:val="center" w:pos="1219"/>
        <w:tab w:val="center" w:pos="6379"/>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i">
    <w:name w:val="Opi_H_i"/>
    <w:basedOn w:val="OpiHa0"/>
    <w:next w:val="OpiPara"/>
    <w:rsid w:val="007D2983"/>
    <w:pPr>
      <w:ind w:left="1038"/>
    </w:pPr>
    <w:rPr>
      <w:b w:val="0"/>
      <w:i/>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676C5D"/>
    <w:rPr>
      <w:sz w:val="24"/>
      <w:lang w:val="en-GB" w:eastAsia="fr-FR" w:bidi="ar-SA"/>
    </w:rPr>
  </w:style>
  <w:style w:type="character" w:customStyle="1" w:styleId="JuQuotChar">
    <w:name w:val="Ju_Quot Char"/>
    <w:basedOn w:val="JuParaChar"/>
    <w:link w:val="JuQuot"/>
    <w:rsid w:val="007A2F6F"/>
    <w:rPr>
      <w:sz w:val="24"/>
      <w:lang w:val="en-GB" w:eastAsia="fr-FR" w:bidi="ar-SA"/>
    </w:rPr>
  </w:style>
  <w:style w:type="character" w:styleId="Emphasis">
    <w:name w:val="Emphasis"/>
    <w:basedOn w:val="DefaultParagraphFont"/>
    <w:qFormat/>
    <w:rsid w:val="007A2F6F"/>
    <w:rPr>
      <w:i/>
      <w:iCs/>
    </w:rPr>
  </w:style>
  <w:style w:type="character" w:customStyle="1" w:styleId="tw4winMark">
    <w:name w:val="tw4winMark"/>
    <w:rsid w:val="007A2F6F"/>
    <w:rPr>
      <w:rFonts w:ascii="Courier New" w:hAnsi="Courier New" w:cs="Courier New"/>
      <w:vanish/>
      <w:color w:val="800080"/>
      <w:vertAlign w:val="subscript"/>
    </w:rPr>
  </w:style>
  <w:style w:type="paragraph" w:customStyle="1" w:styleId="OpiCommission">
    <w:name w:val="Opi_Commission"/>
    <w:basedOn w:val="JuJudges"/>
    <w:rsid w:val="007A2F6F"/>
    <w:pPr>
      <w:tabs>
        <w:tab w:val="clear" w:pos="567"/>
        <w:tab w:val="clear" w:pos="1134"/>
        <w:tab w:val="left" w:pos="1814"/>
        <w:tab w:val="left" w:pos="2381"/>
        <w:tab w:val="left" w:pos="3119"/>
      </w:tabs>
      <w:ind w:left="1418"/>
    </w:pPr>
    <w:rPr>
      <w:sz w:val="20"/>
      <w:lang w:val="fr-FR"/>
    </w:rPr>
  </w:style>
  <w:style w:type="paragraph" w:customStyle="1" w:styleId="OpiConclusion">
    <w:name w:val="Opi_Conclusion"/>
    <w:basedOn w:val="OpiPara"/>
    <w:next w:val="OpiPara"/>
    <w:rsid w:val="007A2F6F"/>
    <w:pPr>
      <w:spacing w:before="360" w:after="120"/>
      <w:ind w:firstLine="0"/>
    </w:pPr>
    <w:rPr>
      <w:i/>
      <w:lang w:val="fr-FR"/>
    </w:rPr>
  </w:style>
  <w:style w:type="paragraph" w:customStyle="1" w:styleId="OpiHCommission">
    <w:name w:val="Opi_H_Commission"/>
    <w:basedOn w:val="OpiTranslation"/>
    <w:next w:val="OpiPara"/>
    <w:rsid w:val="007A2F6F"/>
    <w:pPr>
      <w:spacing w:before="480"/>
      <w:ind w:left="1418"/>
      <w:jc w:val="left"/>
    </w:pPr>
    <w:rPr>
      <w:sz w:val="20"/>
      <w:lang w:val="fr-FR"/>
    </w:rPr>
  </w:style>
  <w:style w:type="paragraph" w:customStyle="1" w:styleId="OpiHOpinion">
    <w:name w:val="Opi_H_Opinion"/>
    <w:basedOn w:val="OpiHHead"/>
    <w:next w:val="OpiPara"/>
    <w:rsid w:val="007A2F6F"/>
    <w:pPr>
      <w:spacing w:before="240"/>
    </w:pPr>
    <w:rPr>
      <w:b/>
      <w:lang w:val="fr-FR"/>
    </w:rPr>
  </w:style>
  <w:style w:type="paragraph" w:customStyle="1" w:styleId="OpiList">
    <w:name w:val="Opi_List"/>
    <w:basedOn w:val="JuList"/>
    <w:rsid w:val="007A2F6F"/>
    <w:rPr>
      <w:lang w:val="fr-FR"/>
    </w:rPr>
  </w:style>
  <w:style w:type="character" w:customStyle="1" w:styleId="OpiNames">
    <w:name w:val="Opi_Names"/>
    <w:basedOn w:val="JuNames"/>
    <w:rsid w:val="007A2F6F"/>
    <w:rPr>
      <w:smallCaps/>
    </w:rPr>
  </w:style>
  <w:style w:type="character" w:customStyle="1" w:styleId="OpiNamesSignature">
    <w:name w:val="Opi_Names_Signature"/>
    <w:basedOn w:val="JuNames"/>
    <w:rsid w:val="007A2F6F"/>
    <w:rPr>
      <w:smallCaps/>
    </w:rPr>
  </w:style>
  <w:style w:type="paragraph" w:customStyle="1" w:styleId="OpiQuotList">
    <w:name w:val="Opi_Quot_List"/>
    <w:basedOn w:val="OpiQuot"/>
    <w:rsid w:val="007A2F6F"/>
    <w:pPr>
      <w:tabs>
        <w:tab w:val="left" w:pos="1021"/>
      </w:tabs>
      <w:ind w:left="567" w:firstLine="0"/>
    </w:pPr>
    <w:rPr>
      <w:sz w:val="24"/>
      <w:lang w:val="fr-FR"/>
    </w:rPr>
  </w:style>
  <w:style w:type="paragraph" w:customStyle="1" w:styleId="OpiSigned">
    <w:name w:val="Opi_Signed"/>
    <w:basedOn w:val="JuSigned"/>
    <w:rsid w:val="007A2F6F"/>
    <w:pPr>
      <w:tabs>
        <w:tab w:val="clear" w:pos="1219"/>
        <w:tab w:val="clear" w:pos="6379"/>
        <w:tab w:val="center" w:pos="1418"/>
        <w:tab w:val="center" w:pos="5954"/>
        <w:tab w:val="center" w:pos="6407"/>
      </w:tabs>
    </w:pPr>
    <w:rPr>
      <w:lang w:val="fr-FR"/>
    </w:rPr>
  </w:style>
  <w:style w:type="character" w:customStyle="1" w:styleId="JuParaChar1">
    <w:name w:val="Ju_Para Char1"/>
    <w:basedOn w:val="DefaultParagraphFont"/>
    <w:rsid w:val="007A2F6F"/>
    <w:rPr>
      <w:sz w:val="24"/>
      <w:lang w:val="fr-FR" w:eastAsia="fr-FR" w:bidi="ar-SA"/>
    </w:rPr>
  </w:style>
  <w:style w:type="character" w:customStyle="1" w:styleId="JuQuotChar1">
    <w:name w:val="Ju_Quot Char1"/>
    <w:basedOn w:val="JuParaChar1"/>
    <w:rsid w:val="007A2F6F"/>
    <w:rPr>
      <w:sz w:val="24"/>
      <w:lang w:val="fr-FR" w:eastAsia="fr-FR" w:bidi="ar-SA"/>
    </w:rPr>
  </w:style>
  <w:style w:type="paragraph" w:customStyle="1" w:styleId="COEHeading1">
    <w:name w:val="COE_Heading1"/>
    <w:basedOn w:val="Normal"/>
    <w:rsid w:val="007A2F6F"/>
    <w:pPr>
      <w:suppressAutoHyphens w:val="0"/>
    </w:pPr>
    <w:rPr>
      <w:rFonts w:ascii="Arial" w:hAnsi="Arial"/>
      <w:b/>
      <w:szCs w:val="24"/>
      <w:lang w:val="fr-FR"/>
    </w:rPr>
  </w:style>
  <w:style w:type="paragraph" w:styleId="NormalWeb">
    <w:name w:val="Normal (Web)"/>
    <w:basedOn w:val="Normal"/>
    <w:rsid w:val="007A2F6F"/>
    <w:pPr>
      <w:suppressAutoHyphens w:val="0"/>
      <w:spacing w:before="100" w:beforeAutospacing="1" w:after="100" w:afterAutospacing="1"/>
      <w:ind w:left="48" w:right="144"/>
    </w:pPr>
    <w:rPr>
      <w:rFonts w:ascii="Arial" w:hAnsi="Arial" w:cs="Arial"/>
      <w:color w:val="000000"/>
      <w:sz w:val="20"/>
      <w:lang w:val="fr-FR"/>
    </w:rPr>
  </w:style>
  <w:style w:type="character" w:styleId="Hyperlink">
    <w:name w:val="Hyperlink"/>
    <w:basedOn w:val="DefaultParagraphFont"/>
    <w:rsid w:val="007A2F6F"/>
    <w:rPr>
      <w:color w:val="0000FF"/>
      <w:u w:val="single"/>
    </w:rPr>
  </w:style>
  <w:style w:type="character" w:styleId="FollowedHyperlink">
    <w:name w:val="FollowedHyperlink"/>
    <w:basedOn w:val="DefaultParagraphFont"/>
    <w:rsid w:val="007A2F6F"/>
    <w:rPr>
      <w:color w:val="800080"/>
      <w:u w:val="single"/>
    </w:rPr>
  </w:style>
  <w:style w:type="character" w:customStyle="1" w:styleId="JuHHeadChar">
    <w:name w:val="Ju_H_Head Char"/>
    <w:basedOn w:val="DefaultParagraphFont"/>
    <w:link w:val="JuHHead"/>
    <w:rsid w:val="006E1C37"/>
    <w:rPr>
      <w:sz w:val="28"/>
      <w:lang w:val="en-GB" w:eastAsia="fr-FR" w:bidi="ar-SA"/>
    </w:rPr>
  </w:style>
  <w:style w:type="character" w:customStyle="1" w:styleId="JuHIRomanChar">
    <w:name w:val="Ju_H_I_Roman Char"/>
    <w:basedOn w:val="JuHHeadChar"/>
    <w:link w:val="JuHIRoman"/>
    <w:rsid w:val="006E1C37"/>
    <w:rPr>
      <w:sz w:val="24"/>
      <w:lang w:val="en-GB" w:eastAsia="fr-FR" w:bidi="ar-SA"/>
    </w:rPr>
  </w:style>
  <w:style w:type="character" w:customStyle="1" w:styleId="JuHAChar">
    <w:name w:val="Ju_H_A Char"/>
    <w:basedOn w:val="JuHIRomanChar"/>
    <w:link w:val="JuHA"/>
    <w:rsid w:val="006E1C37"/>
    <w:rPr>
      <w:b/>
      <w:sz w:val="24"/>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983"/>
    <w:pPr>
      <w:suppressAutoHyphens/>
    </w:pPr>
    <w:rPr>
      <w:sz w:val="24"/>
      <w:lang w:val="en-GB" w:eastAsia="fr-FR"/>
    </w:rPr>
  </w:style>
  <w:style w:type="paragraph" w:styleId="Heading1">
    <w:name w:val="heading 1"/>
    <w:basedOn w:val="Normal"/>
    <w:next w:val="Normal"/>
    <w:qFormat/>
    <w:rsid w:val="007D2983"/>
    <w:pPr>
      <w:keepNext/>
      <w:spacing w:before="360" w:after="240"/>
      <w:jc w:val="center"/>
      <w:outlineLvl w:val="0"/>
    </w:pPr>
    <w:rPr>
      <w:b/>
      <w:sz w:val="28"/>
    </w:rPr>
  </w:style>
  <w:style w:type="paragraph" w:styleId="Heading2">
    <w:name w:val="heading 2"/>
    <w:basedOn w:val="Normal"/>
    <w:next w:val="Normal"/>
    <w:qFormat/>
    <w:rsid w:val="007D2983"/>
    <w:pPr>
      <w:keepNext/>
      <w:spacing w:before="240" w:after="120"/>
      <w:ind w:left="284" w:hanging="284"/>
      <w:outlineLvl w:val="1"/>
    </w:pPr>
    <w:rPr>
      <w:b/>
    </w:rPr>
  </w:style>
  <w:style w:type="paragraph" w:styleId="Heading3">
    <w:name w:val="heading 3"/>
    <w:basedOn w:val="Normal"/>
    <w:next w:val="Normal"/>
    <w:qFormat/>
    <w:rsid w:val="007D29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Para">
    <w:name w:val="Ju_Para"/>
    <w:basedOn w:val="Normal"/>
    <w:link w:val="JuParaChar"/>
    <w:rsid w:val="007D2983"/>
    <w:pPr>
      <w:ind w:firstLine="284"/>
      <w:jc w:val="both"/>
    </w:pPr>
  </w:style>
  <w:style w:type="paragraph" w:customStyle="1" w:styleId="JuHIRoman">
    <w:name w:val="Ju_H_I_Roman"/>
    <w:basedOn w:val="JuHHead"/>
    <w:next w:val="JuPara"/>
    <w:link w:val="JuHIRomanChar"/>
    <w:rsid w:val="007D2983"/>
    <w:pPr>
      <w:tabs>
        <w:tab w:val="left" w:pos="357"/>
      </w:tabs>
      <w:spacing w:before="360"/>
      <w:ind w:left="357" w:hanging="357"/>
    </w:pPr>
    <w:rPr>
      <w:sz w:val="24"/>
    </w:rPr>
  </w:style>
  <w:style w:type="paragraph" w:customStyle="1" w:styleId="JuHHead">
    <w:name w:val="Ju_H_Head"/>
    <w:basedOn w:val="Normal"/>
    <w:next w:val="JuPara"/>
    <w:link w:val="JuHHeadChar"/>
    <w:rsid w:val="007D2983"/>
    <w:pPr>
      <w:keepNext/>
      <w:keepLines/>
      <w:spacing w:before="720" w:after="240"/>
      <w:jc w:val="both"/>
    </w:pPr>
    <w:rPr>
      <w:sz w:val="28"/>
    </w:rPr>
  </w:style>
  <w:style w:type="paragraph" w:styleId="Footer">
    <w:name w:val="footer"/>
    <w:basedOn w:val="Normal"/>
    <w:rsid w:val="007D2983"/>
    <w:pPr>
      <w:tabs>
        <w:tab w:val="center" w:pos="3686"/>
        <w:tab w:val="right" w:pos="7371"/>
      </w:tabs>
    </w:pPr>
    <w:rPr>
      <w:sz w:val="18"/>
    </w:rPr>
  </w:style>
  <w:style w:type="paragraph" w:customStyle="1" w:styleId="JuJudges">
    <w:name w:val="Ju_Judges"/>
    <w:basedOn w:val="Normal"/>
    <w:rsid w:val="007D2983"/>
    <w:pPr>
      <w:tabs>
        <w:tab w:val="left" w:pos="567"/>
        <w:tab w:val="left" w:pos="1134"/>
      </w:tabs>
    </w:pPr>
  </w:style>
  <w:style w:type="character" w:customStyle="1" w:styleId="JuNames">
    <w:name w:val="Ju_Names"/>
    <w:basedOn w:val="DefaultParagraphFont"/>
    <w:rsid w:val="007D2983"/>
    <w:rPr>
      <w:smallCaps/>
    </w:rPr>
  </w:style>
  <w:style w:type="paragraph" w:customStyle="1" w:styleId="JuHA">
    <w:name w:val="Ju_H_A"/>
    <w:basedOn w:val="JuHIRoman"/>
    <w:next w:val="JuPara"/>
    <w:link w:val="JuHAChar"/>
    <w:rsid w:val="007D2983"/>
    <w:pPr>
      <w:tabs>
        <w:tab w:val="clear" w:pos="357"/>
        <w:tab w:val="left" w:pos="584"/>
      </w:tabs>
      <w:ind w:left="584" w:hanging="352"/>
    </w:pPr>
    <w:rPr>
      <w:b/>
    </w:rPr>
  </w:style>
  <w:style w:type="paragraph" w:customStyle="1" w:styleId="JuQuot">
    <w:name w:val="Ju_Quot"/>
    <w:basedOn w:val="JuPara"/>
    <w:link w:val="JuQuotChar"/>
    <w:rsid w:val="007D2983"/>
    <w:pPr>
      <w:spacing w:before="120" w:after="120"/>
      <w:ind w:left="425" w:firstLine="142"/>
    </w:pPr>
    <w:rPr>
      <w:sz w:val="20"/>
    </w:rPr>
  </w:style>
  <w:style w:type="paragraph" w:customStyle="1" w:styleId="JuSigned">
    <w:name w:val="Ju_Signed"/>
    <w:basedOn w:val="Normal"/>
    <w:next w:val="JuParaLast"/>
    <w:rsid w:val="00267BF8"/>
    <w:pPr>
      <w:tabs>
        <w:tab w:val="center" w:pos="1219"/>
        <w:tab w:val="center" w:pos="6379"/>
      </w:tabs>
      <w:spacing w:before="720"/>
    </w:pPr>
  </w:style>
  <w:style w:type="paragraph" w:customStyle="1" w:styleId="JuParaLast">
    <w:name w:val="Ju_Para_Last"/>
    <w:basedOn w:val="JuPara"/>
    <w:next w:val="JuPara"/>
    <w:rsid w:val="007D2983"/>
    <w:pPr>
      <w:spacing w:before="240"/>
    </w:pPr>
  </w:style>
  <w:style w:type="paragraph" w:customStyle="1" w:styleId="JuCase">
    <w:name w:val="Ju_Case"/>
    <w:basedOn w:val="JuPara"/>
    <w:next w:val="JuPara"/>
    <w:rsid w:val="007D2983"/>
    <w:rPr>
      <w:b/>
    </w:rPr>
  </w:style>
  <w:style w:type="paragraph" w:customStyle="1" w:styleId="JuList">
    <w:name w:val="Ju_List"/>
    <w:basedOn w:val="JuPara"/>
    <w:rsid w:val="007D2983"/>
    <w:pPr>
      <w:ind w:left="340" w:hanging="340"/>
    </w:pPr>
  </w:style>
  <w:style w:type="paragraph" w:customStyle="1" w:styleId="JuHArticle">
    <w:name w:val="Ju_H_Article"/>
    <w:basedOn w:val="JuHa0"/>
    <w:next w:val="JuQuot"/>
    <w:rsid w:val="007D2983"/>
    <w:pPr>
      <w:ind w:left="0" w:firstLine="0"/>
      <w:jc w:val="center"/>
    </w:pPr>
  </w:style>
  <w:style w:type="paragraph" w:customStyle="1" w:styleId="JuHa0">
    <w:name w:val="Ju_H_a"/>
    <w:basedOn w:val="JuH1"/>
    <w:next w:val="JuPara"/>
    <w:rsid w:val="007D2983"/>
    <w:pPr>
      <w:tabs>
        <w:tab w:val="clear" w:pos="731"/>
        <w:tab w:val="left" w:pos="975"/>
      </w:tabs>
      <w:ind w:left="975" w:hanging="340"/>
    </w:pPr>
    <w:rPr>
      <w:b/>
      <w:i w:val="0"/>
      <w:sz w:val="20"/>
    </w:rPr>
  </w:style>
  <w:style w:type="paragraph" w:customStyle="1" w:styleId="JuH1">
    <w:name w:val="Ju_H_1."/>
    <w:basedOn w:val="JuHA"/>
    <w:next w:val="JuPara"/>
    <w:rsid w:val="007D2983"/>
    <w:pPr>
      <w:tabs>
        <w:tab w:val="clear" w:pos="584"/>
        <w:tab w:val="left" w:pos="731"/>
      </w:tabs>
      <w:spacing w:before="240" w:after="120"/>
      <w:ind w:left="732" w:hanging="301"/>
    </w:pPr>
    <w:rPr>
      <w:b w:val="0"/>
      <w:i/>
    </w:rPr>
  </w:style>
  <w:style w:type="paragraph" w:styleId="CommentSubject">
    <w:name w:val="annotation subject"/>
    <w:basedOn w:val="CommentText"/>
    <w:next w:val="CommentText"/>
    <w:semiHidden/>
    <w:rsid w:val="00F43833"/>
    <w:rPr>
      <w:b/>
      <w:bCs/>
    </w:rPr>
  </w:style>
  <w:style w:type="paragraph" w:styleId="CommentText">
    <w:name w:val="annotation text"/>
    <w:basedOn w:val="Normal"/>
    <w:semiHidden/>
    <w:rPr>
      <w:sz w:val="20"/>
    </w:rPr>
  </w:style>
  <w:style w:type="paragraph" w:customStyle="1" w:styleId="JuCourt">
    <w:name w:val="Ju_Court"/>
    <w:basedOn w:val="JuJudges"/>
    <w:rsid w:val="007D2983"/>
    <w:pPr>
      <w:tabs>
        <w:tab w:val="clear" w:pos="567"/>
        <w:tab w:val="clear" w:pos="1134"/>
        <w:tab w:val="left" w:pos="907"/>
        <w:tab w:val="left" w:pos="1701"/>
        <w:tab w:val="right" w:pos="7371"/>
      </w:tabs>
      <w:spacing w:before="240"/>
      <w:ind w:left="397" w:hanging="397"/>
    </w:pPr>
  </w:style>
  <w:style w:type="paragraph" w:styleId="FootnoteText">
    <w:name w:val="footnote text"/>
    <w:basedOn w:val="Normal"/>
    <w:semiHidden/>
    <w:rsid w:val="007D2983"/>
    <w:pPr>
      <w:jc w:val="both"/>
    </w:pPr>
    <w:rPr>
      <w:sz w:val="20"/>
    </w:rPr>
  </w:style>
  <w:style w:type="character" w:styleId="FootnoteReference">
    <w:name w:val="footnote reference"/>
    <w:basedOn w:val="DefaultParagraphFont"/>
    <w:semiHidden/>
    <w:rsid w:val="007D2983"/>
    <w:rPr>
      <w:vertAlign w:val="superscript"/>
    </w:rPr>
  </w:style>
  <w:style w:type="paragraph" w:customStyle="1" w:styleId="JuHi">
    <w:name w:val="Ju_H_i"/>
    <w:basedOn w:val="JuHa0"/>
    <w:next w:val="JuPara"/>
    <w:rsid w:val="007D2983"/>
    <w:pPr>
      <w:tabs>
        <w:tab w:val="clear" w:pos="975"/>
        <w:tab w:val="left" w:pos="1191"/>
      </w:tabs>
      <w:ind w:left="1190" w:hanging="357"/>
    </w:pPr>
    <w:rPr>
      <w:b w:val="0"/>
      <w:i/>
    </w:rPr>
  </w:style>
  <w:style w:type="paragraph" w:styleId="Header">
    <w:name w:val="header"/>
    <w:basedOn w:val="Normal"/>
    <w:rsid w:val="007D2983"/>
    <w:pPr>
      <w:tabs>
        <w:tab w:val="center" w:pos="3686"/>
        <w:tab w:val="right" w:pos="7371"/>
      </w:tabs>
    </w:pPr>
    <w:rPr>
      <w:sz w:val="18"/>
    </w:rPr>
  </w:style>
  <w:style w:type="character" w:styleId="PageNumber">
    <w:name w:val="page number"/>
    <w:basedOn w:val="DefaultParagraphFont"/>
    <w:rsid w:val="007D2983"/>
    <w:rPr>
      <w:sz w:val="18"/>
    </w:rPr>
  </w:style>
  <w:style w:type="paragraph" w:customStyle="1" w:styleId="JuH">
    <w:name w:val="Ju_H_–"/>
    <w:basedOn w:val="JuHalpha"/>
    <w:next w:val="JuPara"/>
    <w:rsid w:val="007D2983"/>
    <w:pPr>
      <w:tabs>
        <w:tab w:val="clear" w:pos="1372"/>
      </w:tabs>
      <w:ind w:left="1236" w:firstLine="0"/>
    </w:pPr>
    <w:rPr>
      <w:i/>
    </w:rPr>
  </w:style>
  <w:style w:type="paragraph" w:customStyle="1" w:styleId="JuHalpha">
    <w:name w:val="Ju_H_alpha"/>
    <w:basedOn w:val="JuHi"/>
    <w:next w:val="JuPara"/>
    <w:rsid w:val="007D2983"/>
    <w:pPr>
      <w:tabs>
        <w:tab w:val="clear" w:pos="1191"/>
        <w:tab w:val="left" w:pos="1372"/>
      </w:tabs>
      <w:ind w:left="1373" w:hanging="335"/>
    </w:pPr>
    <w:rPr>
      <w:i w:val="0"/>
    </w:rPr>
  </w:style>
  <w:style w:type="paragraph" w:customStyle="1" w:styleId="JuLista">
    <w:name w:val="Ju_List_a"/>
    <w:basedOn w:val="JuList"/>
    <w:rsid w:val="007D2983"/>
    <w:pPr>
      <w:ind w:left="346" w:firstLine="0"/>
    </w:pPr>
  </w:style>
  <w:style w:type="paragraph" w:customStyle="1" w:styleId="JuListi">
    <w:name w:val="Ju_List_i"/>
    <w:basedOn w:val="JuLista"/>
    <w:rsid w:val="007D2983"/>
    <w:pPr>
      <w:ind w:left="794"/>
    </w:pPr>
  </w:style>
  <w:style w:type="character" w:styleId="CommentReference">
    <w:name w:val="annotation reference"/>
    <w:basedOn w:val="DefaultParagraphFont"/>
    <w:semiHidden/>
    <w:rPr>
      <w:sz w:val="16"/>
    </w:rPr>
  </w:style>
  <w:style w:type="paragraph" w:customStyle="1" w:styleId="OpiHHead">
    <w:name w:val="Opi_H_Head"/>
    <w:basedOn w:val="JuHHead"/>
    <w:next w:val="OpiPara"/>
    <w:rsid w:val="007D2983"/>
    <w:pPr>
      <w:spacing w:before="0"/>
      <w:jc w:val="center"/>
    </w:pPr>
  </w:style>
  <w:style w:type="paragraph" w:customStyle="1" w:styleId="OpiPara">
    <w:name w:val="Opi_Para"/>
    <w:basedOn w:val="JuPara"/>
    <w:rsid w:val="007D2983"/>
  </w:style>
  <w:style w:type="paragraph" w:customStyle="1" w:styleId="OpiTranslation">
    <w:name w:val="Opi_Translation"/>
    <w:basedOn w:val="OpiHHead"/>
    <w:next w:val="OpiPara"/>
    <w:rsid w:val="007D2983"/>
    <w:rPr>
      <w:sz w:val="24"/>
    </w:rPr>
  </w:style>
  <w:style w:type="paragraph" w:customStyle="1" w:styleId="JuInitialled">
    <w:name w:val="Ju_Initialled"/>
    <w:basedOn w:val="JuSigned"/>
    <w:rsid w:val="007D2983"/>
    <w:pPr>
      <w:jc w:val="right"/>
    </w:pPr>
  </w:style>
  <w:style w:type="paragraph" w:customStyle="1" w:styleId="JuHeader">
    <w:name w:val="Ju_Header"/>
    <w:basedOn w:val="Header"/>
    <w:rsid w:val="007D2983"/>
  </w:style>
  <w:style w:type="paragraph" w:customStyle="1" w:styleId="DecHTitle">
    <w:name w:val="Dec_H_Title"/>
    <w:basedOn w:val="Normal"/>
    <w:rsid w:val="007D2983"/>
    <w:pPr>
      <w:spacing w:after="240"/>
      <w:jc w:val="center"/>
    </w:pPr>
    <w:rPr>
      <w:sz w:val="28"/>
    </w:rPr>
  </w:style>
  <w:style w:type="paragraph" w:customStyle="1" w:styleId="DecHCase">
    <w:name w:val="Dec_H_Case"/>
    <w:basedOn w:val="DecHTitle"/>
    <w:next w:val="JuPara"/>
    <w:rsid w:val="007D2983"/>
    <w:rPr>
      <w:sz w:val="24"/>
    </w:rPr>
  </w:style>
  <w:style w:type="paragraph" w:customStyle="1" w:styleId="DecList">
    <w:name w:val="Dec_List"/>
    <w:basedOn w:val="Normal"/>
    <w:rsid w:val="007D2983"/>
    <w:pPr>
      <w:spacing w:before="240"/>
      <w:ind w:left="284"/>
      <w:jc w:val="both"/>
    </w:pPr>
  </w:style>
  <w:style w:type="paragraph" w:customStyle="1" w:styleId="JuParaSub">
    <w:name w:val="Ju_Para_Sub"/>
    <w:basedOn w:val="JuPara"/>
    <w:rsid w:val="007D2983"/>
    <w:pPr>
      <w:ind w:left="284"/>
    </w:pPr>
    <w:rPr>
      <w:szCs w:val="24"/>
    </w:rPr>
  </w:style>
  <w:style w:type="paragraph" w:customStyle="1" w:styleId="JuQuotSub">
    <w:name w:val="Ju_Quot_Sub"/>
    <w:basedOn w:val="JuQuot"/>
    <w:rsid w:val="007D2983"/>
    <w:pPr>
      <w:ind w:left="567"/>
    </w:pPr>
  </w:style>
  <w:style w:type="paragraph" w:styleId="BalloonText">
    <w:name w:val="Balloon Text"/>
    <w:basedOn w:val="Normal"/>
    <w:semiHidden/>
    <w:rsid w:val="00283F8B"/>
    <w:rPr>
      <w:rFonts w:ascii="Tahoma" w:hAnsi="Tahoma" w:cs="Tahoma"/>
      <w:sz w:val="16"/>
      <w:szCs w:val="16"/>
    </w:rPr>
  </w:style>
  <w:style w:type="paragraph" w:customStyle="1" w:styleId="PJuPara">
    <w:name w:val="P_Ju_Para"/>
    <w:basedOn w:val="Normal"/>
    <w:rsid w:val="007D2983"/>
    <w:pPr>
      <w:ind w:firstLine="284"/>
      <w:jc w:val="both"/>
    </w:pPr>
  </w:style>
  <w:style w:type="paragraph" w:customStyle="1" w:styleId="PJuQuot">
    <w:name w:val="P_Ju_Quot"/>
    <w:basedOn w:val="Normal"/>
    <w:rsid w:val="007D2983"/>
    <w:pPr>
      <w:spacing w:before="120" w:after="120"/>
      <w:ind w:left="403" w:firstLine="176"/>
      <w:jc w:val="both"/>
    </w:pPr>
    <w:rPr>
      <w:sz w:val="20"/>
    </w:rPr>
  </w:style>
  <w:style w:type="paragraph" w:customStyle="1" w:styleId="OpiHA">
    <w:name w:val="Opi_H_A"/>
    <w:basedOn w:val="JuHIRoman"/>
    <w:next w:val="OpiPara"/>
    <w:rsid w:val="007D2983"/>
    <w:pPr>
      <w:tabs>
        <w:tab w:val="clear" w:pos="357"/>
      </w:tabs>
    </w:pPr>
    <w:rPr>
      <w:b/>
    </w:rPr>
  </w:style>
  <w:style w:type="paragraph" w:customStyle="1" w:styleId="OpiH1">
    <w:name w:val="Opi_H_1."/>
    <w:basedOn w:val="OpiHA"/>
    <w:next w:val="OpiPara"/>
    <w:rsid w:val="007D2983"/>
    <w:pPr>
      <w:spacing w:before="240" w:after="120"/>
      <w:ind w:left="635"/>
    </w:pPr>
    <w:rPr>
      <w:b w:val="0"/>
      <w:i/>
    </w:rPr>
  </w:style>
  <w:style w:type="paragraph" w:customStyle="1" w:styleId="OpiHa0">
    <w:name w:val="Opi_H_a"/>
    <w:basedOn w:val="OpiH1"/>
    <w:next w:val="OpiPara"/>
    <w:rsid w:val="007D2983"/>
    <w:pPr>
      <w:ind w:left="834"/>
    </w:pPr>
    <w:rPr>
      <w:b/>
      <w:i w:val="0"/>
      <w:sz w:val="20"/>
    </w:rPr>
  </w:style>
  <w:style w:type="paragraph" w:customStyle="1" w:styleId="OpiHi">
    <w:name w:val="Opi_H_i"/>
    <w:basedOn w:val="OpiHa0"/>
    <w:next w:val="OpiPara"/>
    <w:rsid w:val="007D2983"/>
    <w:pPr>
      <w:ind w:left="1038"/>
    </w:pPr>
    <w:rPr>
      <w:b w:val="0"/>
      <w:i/>
    </w:rPr>
  </w:style>
  <w:style w:type="paragraph" w:customStyle="1" w:styleId="PListArticleSubject">
    <w:name w:val="P_List_ArticleSubject"/>
    <w:basedOn w:val="Normal"/>
    <w:rsid w:val="007D2983"/>
    <w:pPr>
      <w:tabs>
        <w:tab w:val="left" w:pos="2977"/>
      </w:tabs>
      <w:ind w:left="2977" w:hanging="2977"/>
    </w:pPr>
  </w:style>
  <w:style w:type="paragraph" w:customStyle="1" w:styleId="OpiQuot">
    <w:name w:val="Opi_Quot"/>
    <w:basedOn w:val="JuQuot"/>
    <w:rsid w:val="007D2983"/>
  </w:style>
  <w:style w:type="paragraph" w:customStyle="1" w:styleId="SuCoverTitle1">
    <w:name w:val="Su_Cover_Title1"/>
    <w:basedOn w:val="Normal"/>
    <w:next w:val="SuCoverTitle2"/>
    <w:rsid w:val="007D2983"/>
    <w:pPr>
      <w:spacing w:before="2500"/>
      <w:jc w:val="center"/>
    </w:pPr>
    <w:rPr>
      <w:sz w:val="22"/>
    </w:rPr>
  </w:style>
  <w:style w:type="paragraph" w:customStyle="1" w:styleId="SuCoverTitle2">
    <w:name w:val="Su_Cover_Title2"/>
    <w:basedOn w:val="SuCoverTitle1"/>
    <w:next w:val="Normal"/>
    <w:rsid w:val="007D2983"/>
    <w:pPr>
      <w:spacing w:before="240"/>
    </w:pPr>
    <w:rPr>
      <w:sz w:val="18"/>
    </w:rPr>
  </w:style>
  <w:style w:type="paragraph" w:customStyle="1" w:styleId="SuPara">
    <w:name w:val="Su_Para"/>
    <w:basedOn w:val="SuKeywords"/>
    <w:rsid w:val="007D2983"/>
    <w:pPr>
      <w:spacing w:before="0" w:after="0"/>
    </w:pPr>
    <w:rPr>
      <w:i w:val="0"/>
    </w:rPr>
  </w:style>
  <w:style w:type="paragraph" w:customStyle="1" w:styleId="SuKeywords">
    <w:name w:val="Su_Keywords"/>
    <w:basedOn w:val="SuHHead"/>
    <w:rsid w:val="007D2983"/>
    <w:pPr>
      <w:spacing w:before="120"/>
    </w:pPr>
    <w:rPr>
      <w:b w:val="0"/>
      <w:i/>
    </w:rPr>
  </w:style>
  <w:style w:type="paragraph" w:customStyle="1" w:styleId="SuHHead">
    <w:name w:val="Su_H_Head"/>
    <w:basedOn w:val="SuSubject"/>
    <w:rsid w:val="007D2983"/>
    <w:pPr>
      <w:spacing w:after="120"/>
    </w:pPr>
  </w:style>
  <w:style w:type="paragraph" w:customStyle="1" w:styleId="SuSubject">
    <w:name w:val="Su_Subject"/>
    <w:basedOn w:val="SuSummary"/>
    <w:rsid w:val="007D2983"/>
    <w:pPr>
      <w:spacing w:before="360"/>
      <w:jc w:val="both"/>
    </w:pPr>
    <w:rPr>
      <w:b/>
      <w:sz w:val="22"/>
    </w:rPr>
  </w:style>
  <w:style w:type="paragraph" w:customStyle="1" w:styleId="SuSummary">
    <w:name w:val="Su_Summary"/>
    <w:basedOn w:val="Normal"/>
    <w:next w:val="SuSubject"/>
    <w:rsid w:val="007D2983"/>
    <w:pPr>
      <w:spacing w:after="240"/>
      <w:jc w:val="center"/>
    </w:pPr>
  </w:style>
  <w:style w:type="paragraph" w:customStyle="1" w:styleId="PListCaseNo">
    <w:name w:val="P_List_CaseNo"/>
    <w:basedOn w:val="Normal"/>
    <w:rsid w:val="007D2983"/>
    <w:pPr>
      <w:tabs>
        <w:tab w:val="left" w:pos="1276"/>
      </w:tabs>
      <w:spacing w:line="288" w:lineRule="auto"/>
      <w:ind w:left="1276" w:hanging="1276"/>
    </w:pPr>
  </w:style>
  <w:style w:type="paragraph" w:customStyle="1" w:styleId="PListCases">
    <w:name w:val="P_List_Cases"/>
    <w:basedOn w:val="Normal"/>
    <w:rsid w:val="007D2983"/>
    <w:pPr>
      <w:spacing w:line="288" w:lineRule="auto"/>
    </w:pPr>
  </w:style>
  <w:style w:type="paragraph" w:customStyle="1" w:styleId="PTextIntro">
    <w:name w:val="P_Text_Intro"/>
    <w:basedOn w:val="Normal"/>
    <w:rsid w:val="007D2983"/>
    <w:pPr>
      <w:jc w:val="both"/>
    </w:pPr>
    <w:rPr>
      <w:i/>
      <w:sz w:val="20"/>
    </w:rPr>
  </w:style>
  <w:style w:type="paragraph" w:customStyle="1" w:styleId="PTitleCover">
    <w:name w:val="P_Title_Cover"/>
    <w:basedOn w:val="Normal"/>
    <w:rsid w:val="007D2983"/>
    <w:pPr>
      <w:spacing w:before="2500"/>
      <w:jc w:val="center"/>
    </w:pPr>
    <w:rPr>
      <w:b/>
      <w:smallCaps/>
      <w:sz w:val="30"/>
    </w:rPr>
  </w:style>
  <w:style w:type="paragraph" w:customStyle="1" w:styleId="PTitle1Alpha">
    <w:name w:val="P_Title1_Alpha"/>
    <w:basedOn w:val="Normal"/>
    <w:next w:val="Normal"/>
    <w:rsid w:val="007D2983"/>
    <w:pPr>
      <w:spacing w:after="120"/>
      <w:jc w:val="center"/>
    </w:pPr>
    <w:rPr>
      <w:b/>
      <w:smallCaps/>
      <w:sz w:val="30"/>
    </w:rPr>
  </w:style>
  <w:style w:type="paragraph" w:customStyle="1" w:styleId="PTitle1IndexArticle">
    <w:name w:val="P_Title1_IndexArticle"/>
    <w:basedOn w:val="Normal"/>
    <w:rsid w:val="007D2983"/>
    <w:pPr>
      <w:spacing w:after="120"/>
      <w:jc w:val="center"/>
    </w:pPr>
    <w:rPr>
      <w:b/>
      <w:smallCaps/>
      <w:sz w:val="30"/>
    </w:rPr>
  </w:style>
  <w:style w:type="paragraph" w:customStyle="1" w:styleId="PTitle1IndexKey">
    <w:name w:val="P_Title1_IndexKey"/>
    <w:basedOn w:val="Normal"/>
    <w:rsid w:val="007D2983"/>
    <w:pPr>
      <w:spacing w:after="600"/>
      <w:jc w:val="center"/>
    </w:pPr>
    <w:rPr>
      <w:b/>
      <w:smallCaps/>
      <w:sz w:val="30"/>
    </w:rPr>
  </w:style>
  <w:style w:type="paragraph" w:customStyle="1" w:styleId="PTitle1Num">
    <w:name w:val="P_Title1_Num"/>
    <w:basedOn w:val="Normal"/>
    <w:next w:val="PListCaseNo"/>
    <w:rsid w:val="007D2983"/>
    <w:pPr>
      <w:spacing w:after="720"/>
      <w:jc w:val="center"/>
    </w:pPr>
    <w:rPr>
      <w:b/>
      <w:smallCaps/>
      <w:sz w:val="30"/>
    </w:rPr>
  </w:style>
  <w:style w:type="paragraph" w:customStyle="1" w:styleId="PTitle2Country">
    <w:name w:val="P_Title2_Country"/>
    <w:basedOn w:val="Normal"/>
    <w:next w:val="PListCases"/>
    <w:rsid w:val="007D2983"/>
    <w:pPr>
      <w:keepNext/>
      <w:keepLines/>
      <w:spacing w:before="600" w:after="360"/>
    </w:pPr>
    <w:rPr>
      <w:b/>
    </w:rPr>
  </w:style>
  <w:style w:type="paragraph" w:customStyle="1" w:styleId="PTitle2Letters">
    <w:name w:val="P_Title2_Letters"/>
    <w:basedOn w:val="Normal"/>
    <w:next w:val="PListCases"/>
    <w:rsid w:val="007D2983"/>
    <w:pPr>
      <w:keepNext/>
      <w:keepLines/>
      <w:spacing w:before="600" w:after="360"/>
    </w:pPr>
    <w:rPr>
      <w:b/>
      <w:sz w:val="28"/>
    </w:rPr>
  </w:style>
  <w:style w:type="paragraph" w:customStyle="1" w:styleId="PTitle2Part">
    <w:name w:val="P_Title2_Part"/>
    <w:basedOn w:val="Normal"/>
    <w:rsid w:val="007D2983"/>
    <w:pPr>
      <w:keepNext/>
      <w:keepLines/>
      <w:spacing w:before="600" w:after="240"/>
      <w:jc w:val="center"/>
    </w:pPr>
    <w:rPr>
      <w:b/>
      <w:caps/>
    </w:rPr>
  </w:style>
  <w:style w:type="paragraph" w:customStyle="1" w:styleId="PTitle3Article">
    <w:name w:val="P_Title3_Article"/>
    <w:basedOn w:val="Normal"/>
    <w:rsid w:val="007D2983"/>
    <w:pPr>
      <w:keepNext/>
      <w:keepLines/>
      <w:spacing w:before="360" w:after="120"/>
      <w:jc w:val="center"/>
    </w:pPr>
    <w:rPr>
      <w:b/>
      <w:smallCaps/>
      <w:sz w:val="22"/>
    </w:rPr>
  </w:style>
  <w:style w:type="paragraph" w:customStyle="1" w:styleId="PTitle4ArticleSub">
    <w:name w:val="P_Title4_Article_Sub"/>
    <w:basedOn w:val="PTitle3Article"/>
    <w:rsid w:val="007D2983"/>
    <w:pPr>
      <w:spacing w:before="240"/>
    </w:pPr>
    <w:rPr>
      <w:smallCaps w:val="0"/>
      <w:sz w:val="20"/>
    </w:rPr>
  </w:style>
  <w:style w:type="paragraph" w:customStyle="1" w:styleId="PTitle5Subject">
    <w:name w:val="P_Title5_Subject"/>
    <w:basedOn w:val="Normal"/>
    <w:rsid w:val="007D2983"/>
    <w:pPr>
      <w:keepNext/>
      <w:keepLines/>
      <w:spacing w:before="240" w:after="120"/>
      <w:jc w:val="both"/>
    </w:pPr>
    <w:rPr>
      <w:b/>
      <w:i/>
    </w:rPr>
  </w:style>
  <w:style w:type="paragraph" w:customStyle="1" w:styleId="PTitle6SubjectSub">
    <w:name w:val="P_Title6_Subject_Sub"/>
    <w:basedOn w:val="Normal"/>
    <w:rsid w:val="007D2983"/>
    <w:pPr>
      <w:keepNext/>
      <w:keepLines/>
      <w:spacing w:before="240" w:after="120"/>
      <w:ind w:left="284"/>
      <w:jc w:val="both"/>
    </w:pPr>
    <w:rPr>
      <w:b/>
      <w:sz w:val="20"/>
    </w:rPr>
  </w:style>
  <w:style w:type="paragraph" w:customStyle="1" w:styleId="PTitle7CaseName">
    <w:name w:val="P_Title7_CaseName"/>
    <w:basedOn w:val="Normal"/>
    <w:rsid w:val="007D2983"/>
    <w:pPr>
      <w:keepLines/>
      <w:spacing w:after="240"/>
      <w:jc w:val="right"/>
    </w:pPr>
    <w:rPr>
      <w:sz w:val="22"/>
    </w:rPr>
  </w:style>
  <w:style w:type="paragraph" w:customStyle="1" w:styleId="OpiParaSub">
    <w:name w:val="Opi_Para_Sub"/>
    <w:basedOn w:val="JuParaSub"/>
    <w:rsid w:val="007D2983"/>
  </w:style>
  <w:style w:type="paragraph" w:customStyle="1" w:styleId="OpiQuotSub">
    <w:name w:val="Opi_Quot_Sub"/>
    <w:basedOn w:val="JuQuotSub"/>
    <w:rsid w:val="007D2983"/>
  </w:style>
  <w:style w:type="character" w:customStyle="1" w:styleId="JuParaChar">
    <w:name w:val="Ju_Para Char"/>
    <w:basedOn w:val="DefaultParagraphFont"/>
    <w:link w:val="JuPara"/>
    <w:rsid w:val="00676C5D"/>
    <w:rPr>
      <w:sz w:val="24"/>
      <w:lang w:val="en-GB" w:eastAsia="fr-FR" w:bidi="ar-SA"/>
    </w:rPr>
  </w:style>
  <w:style w:type="character" w:customStyle="1" w:styleId="JuQuotChar">
    <w:name w:val="Ju_Quot Char"/>
    <w:basedOn w:val="JuParaChar"/>
    <w:link w:val="JuQuot"/>
    <w:rsid w:val="007A2F6F"/>
    <w:rPr>
      <w:sz w:val="24"/>
      <w:lang w:val="en-GB" w:eastAsia="fr-FR" w:bidi="ar-SA"/>
    </w:rPr>
  </w:style>
  <w:style w:type="character" w:styleId="Emphasis">
    <w:name w:val="Emphasis"/>
    <w:basedOn w:val="DefaultParagraphFont"/>
    <w:qFormat/>
    <w:rsid w:val="007A2F6F"/>
    <w:rPr>
      <w:i/>
      <w:iCs/>
    </w:rPr>
  </w:style>
  <w:style w:type="character" w:customStyle="1" w:styleId="tw4winMark">
    <w:name w:val="tw4winMark"/>
    <w:rsid w:val="007A2F6F"/>
    <w:rPr>
      <w:rFonts w:ascii="Courier New" w:hAnsi="Courier New" w:cs="Courier New"/>
      <w:vanish/>
      <w:color w:val="800080"/>
      <w:vertAlign w:val="subscript"/>
    </w:rPr>
  </w:style>
  <w:style w:type="paragraph" w:customStyle="1" w:styleId="OpiCommission">
    <w:name w:val="Opi_Commission"/>
    <w:basedOn w:val="JuJudges"/>
    <w:rsid w:val="007A2F6F"/>
    <w:pPr>
      <w:tabs>
        <w:tab w:val="clear" w:pos="567"/>
        <w:tab w:val="clear" w:pos="1134"/>
        <w:tab w:val="left" w:pos="1814"/>
        <w:tab w:val="left" w:pos="2381"/>
        <w:tab w:val="left" w:pos="3119"/>
      </w:tabs>
      <w:ind w:left="1418"/>
    </w:pPr>
    <w:rPr>
      <w:sz w:val="20"/>
      <w:lang w:val="fr-FR"/>
    </w:rPr>
  </w:style>
  <w:style w:type="paragraph" w:customStyle="1" w:styleId="OpiConclusion">
    <w:name w:val="Opi_Conclusion"/>
    <w:basedOn w:val="OpiPara"/>
    <w:next w:val="OpiPara"/>
    <w:rsid w:val="007A2F6F"/>
    <w:pPr>
      <w:spacing w:before="360" w:after="120"/>
      <w:ind w:firstLine="0"/>
    </w:pPr>
    <w:rPr>
      <w:i/>
      <w:lang w:val="fr-FR"/>
    </w:rPr>
  </w:style>
  <w:style w:type="paragraph" w:customStyle="1" w:styleId="OpiHCommission">
    <w:name w:val="Opi_H_Commission"/>
    <w:basedOn w:val="OpiTranslation"/>
    <w:next w:val="OpiPara"/>
    <w:rsid w:val="007A2F6F"/>
    <w:pPr>
      <w:spacing w:before="480"/>
      <w:ind w:left="1418"/>
      <w:jc w:val="left"/>
    </w:pPr>
    <w:rPr>
      <w:sz w:val="20"/>
      <w:lang w:val="fr-FR"/>
    </w:rPr>
  </w:style>
  <w:style w:type="paragraph" w:customStyle="1" w:styleId="OpiHOpinion">
    <w:name w:val="Opi_H_Opinion"/>
    <w:basedOn w:val="OpiHHead"/>
    <w:next w:val="OpiPara"/>
    <w:rsid w:val="007A2F6F"/>
    <w:pPr>
      <w:spacing w:before="240"/>
    </w:pPr>
    <w:rPr>
      <w:b/>
      <w:lang w:val="fr-FR"/>
    </w:rPr>
  </w:style>
  <w:style w:type="paragraph" w:customStyle="1" w:styleId="OpiList">
    <w:name w:val="Opi_List"/>
    <w:basedOn w:val="JuList"/>
    <w:rsid w:val="007A2F6F"/>
    <w:rPr>
      <w:lang w:val="fr-FR"/>
    </w:rPr>
  </w:style>
  <w:style w:type="character" w:customStyle="1" w:styleId="OpiNames">
    <w:name w:val="Opi_Names"/>
    <w:basedOn w:val="JuNames"/>
    <w:rsid w:val="007A2F6F"/>
    <w:rPr>
      <w:smallCaps/>
    </w:rPr>
  </w:style>
  <w:style w:type="character" w:customStyle="1" w:styleId="OpiNamesSignature">
    <w:name w:val="Opi_Names_Signature"/>
    <w:basedOn w:val="JuNames"/>
    <w:rsid w:val="007A2F6F"/>
    <w:rPr>
      <w:smallCaps/>
    </w:rPr>
  </w:style>
  <w:style w:type="paragraph" w:customStyle="1" w:styleId="OpiQuotList">
    <w:name w:val="Opi_Quot_List"/>
    <w:basedOn w:val="OpiQuot"/>
    <w:rsid w:val="007A2F6F"/>
    <w:pPr>
      <w:tabs>
        <w:tab w:val="left" w:pos="1021"/>
      </w:tabs>
      <w:ind w:left="567" w:firstLine="0"/>
    </w:pPr>
    <w:rPr>
      <w:sz w:val="24"/>
      <w:lang w:val="fr-FR"/>
    </w:rPr>
  </w:style>
  <w:style w:type="paragraph" w:customStyle="1" w:styleId="OpiSigned">
    <w:name w:val="Opi_Signed"/>
    <w:basedOn w:val="JuSigned"/>
    <w:rsid w:val="007A2F6F"/>
    <w:pPr>
      <w:tabs>
        <w:tab w:val="clear" w:pos="1219"/>
        <w:tab w:val="clear" w:pos="6379"/>
        <w:tab w:val="center" w:pos="1418"/>
        <w:tab w:val="center" w:pos="5954"/>
        <w:tab w:val="center" w:pos="6407"/>
      </w:tabs>
    </w:pPr>
    <w:rPr>
      <w:lang w:val="fr-FR"/>
    </w:rPr>
  </w:style>
  <w:style w:type="character" w:customStyle="1" w:styleId="JuParaChar1">
    <w:name w:val="Ju_Para Char1"/>
    <w:basedOn w:val="DefaultParagraphFont"/>
    <w:rsid w:val="007A2F6F"/>
    <w:rPr>
      <w:sz w:val="24"/>
      <w:lang w:val="fr-FR" w:eastAsia="fr-FR" w:bidi="ar-SA"/>
    </w:rPr>
  </w:style>
  <w:style w:type="character" w:customStyle="1" w:styleId="JuQuotChar1">
    <w:name w:val="Ju_Quot Char1"/>
    <w:basedOn w:val="JuParaChar1"/>
    <w:rsid w:val="007A2F6F"/>
    <w:rPr>
      <w:sz w:val="24"/>
      <w:lang w:val="fr-FR" w:eastAsia="fr-FR" w:bidi="ar-SA"/>
    </w:rPr>
  </w:style>
  <w:style w:type="paragraph" w:customStyle="1" w:styleId="COEHeading1">
    <w:name w:val="COE_Heading1"/>
    <w:basedOn w:val="Normal"/>
    <w:rsid w:val="007A2F6F"/>
    <w:pPr>
      <w:suppressAutoHyphens w:val="0"/>
    </w:pPr>
    <w:rPr>
      <w:rFonts w:ascii="Arial" w:hAnsi="Arial"/>
      <w:b/>
      <w:szCs w:val="24"/>
      <w:lang w:val="fr-FR"/>
    </w:rPr>
  </w:style>
  <w:style w:type="paragraph" w:styleId="NormalWeb">
    <w:name w:val="Normal (Web)"/>
    <w:basedOn w:val="Normal"/>
    <w:rsid w:val="007A2F6F"/>
    <w:pPr>
      <w:suppressAutoHyphens w:val="0"/>
      <w:spacing w:before="100" w:beforeAutospacing="1" w:after="100" w:afterAutospacing="1"/>
      <w:ind w:left="48" w:right="144"/>
    </w:pPr>
    <w:rPr>
      <w:rFonts w:ascii="Arial" w:hAnsi="Arial" w:cs="Arial"/>
      <w:color w:val="000000"/>
      <w:sz w:val="20"/>
      <w:lang w:val="fr-FR"/>
    </w:rPr>
  </w:style>
  <w:style w:type="character" w:styleId="Hyperlink">
    <w:name w:val="Hyperlink"/>
    <w:basedOn w:val="DefaultParagraphFont"/>
    <w:rsid w:val="007A2F6F"/>
    <w:rPr>
      <w:color w:val="0000FF"/>
      <w:u w:val="single"/>
    </w:rPr>
  </w:style>
  <w:style w:type="character" w:styleId="FollowedHyperlink">
    <w:name w:val="FollowedHyperlink"/>
    <w:basedOn w:val="DefaultParagraphFont"/>
    <w:rsid w:val="007A2F6F"/>
    <w:rPr>
      <w:color w:val="800080"/>
      <w:u w:val="single"/>
    </w:rPr>
  </w:style>
  <w:style w:type="character" w:customStyle="1" w:styleId="JuHHeadChar">
    <w:name w:val="Ju_H_Head Char"/>
    <w:basedOn w:val="DefaultParagraphFont"/>
    <w:link w:val="JuHHead"/>
    <w:rsid w:val="006E1C37"/>
    <w:rPr>
      <w:sz w:val="28"/>
      <w:lang w:val="en-GB" w:eastAsia="fr-FR" w:bidi="ar-SA"/>
    </w:rPr>
  </w:style>
  <w:style w:type="character" w:customStyle="1" w:styleId="JuHIRomanChar">
    <w:name w:val="Ju_H_I_Roman Char"/>
    <w:basedOn w:val="JuHHeadChar"/>
    <w:link w:val="JuHIRoman"/>
    <w:rsid w:val="006E1C37"/>
    <w:rPr>
      <w:sz w:val="24"/>
      <w:lang w:val="en-GB" w:eastAsia="fr-FR" w:bidi="ar-SA"/>
    </w:rPr>
  </w:style>
  <w:style w:type="character" w:customStyle="1" w:styleId="JuHAChar">
    <w:name w:val="Ju_H_A Char"/>
    <w:basedOn w:val="JuHIRomanChar"/>
    <w:link w:val="JuHA"/>
    <w:rsid w:val="006E1C37"/>
    <w:rPr>
      <w:b/>
      <w:sz w:val="24"/>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1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820CB-DF9D-421B-8E69-B071894A5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1BDD72-F245-4937-AE60-601E9BD48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15104</Words>
  <Characters>86096</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100999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2006-05-18T16:01:00Z</cp:lastPrinted>
  <dcterms:created xsi:type="dcterms:W3CDTF">2014-05-06T10:03:00Z</dcterms:created>
  <dcterms:modified xsi:type="dcterms:W3CDTF">2014-05-06T10:03:00Z</dcterms:modified>
  <cp:category>ECHR Template</cp:category>
</cp:coreProperties>
</file>